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BF0" w:rsidRDefault="00EE0BF0">
      <w:pPr>
        <w:tabs>
          <w:tab w:val="left" w:pos="7939"/>
        </w:tabs>
        <w:jc w:val="center"/>
        <w:rPr>
          <w:sz w:val="44"/>
          <w:szCs w:val="44"/>
        </w:rPr>
      </w:pPr>
      <w:r>
        <w:rPr>
          <w:sz w:val="44"/>
          <w:szCs w:val="44"/>
        </w:rPr>
        <w:t>COMUNE DI VALDOBBIADENE</w:t>
      </w:r>
    </w:p>
    <w:p w:rsidR="00EE0BF0" w:rsidRDefault="00EE0BF0">
      <w:pPr>
        <w:pStyle w:val="Titolo1"/>
        <w:keepNext w:val="0"/>
        <w:rPr>
          <w:rFonts w:ascii="Prestige 12cpi" w:hAnsi="Prestige 12cpi" w:cs="Prestige 12cpi"/>
          <w:b w:val="0"/>
          <w:bCs w:val="0"/>
          <w:sz w:val="44"/>
          <w:szCs w:val="44"/>
        </w:rPr>
      </w:pPr>
      <w:r>
        <w:rPr>
          <w:b w:val="0"/>
          <w:bCs w:val="0"/>
          <w:sz w:val="44"/>
          <w:szCs w:val="44"/>
        </w:rPr>
        <w:t>Provincia di Treviso</w:t>
      </w:r>
    </w:p>
    <w:p w:rsidR="00EE0BF0" w:rsidRDefault="00EE0BF0">
      <w:pPr>
        <w:tabs>
          <w:tab w:val="left" w:pos="7939"/>
        </w:tabs>
        <w:jc w:val="both"/>
        <w:rPr>
          <w:i/>
          <w:iCs/>
          <w:sz w:val="22"/>
          <w:szCs w:val="22"/>
        </w:rPr>
      </w:pPr>
      <w:r>
        <w:rPr>
          <w:i/>
          <w:iCs/>
          <w:sz w:val="22"/>
          <w:szCs w:val="22"/>
        </w:rPr>
        <w:t>____________________________________________________________________________</w:t>
      </w:r>
    </w:p>
    <w:p w:rsidR="00EE0BF0" w:rsidRDefault="00EE0BF0">
      <w:pPr>
        <w:pStyle w:val="Intestazione"/>
        <w:tabs>
          <w:tab w:val="clear" w:pos="4819"/>
          <w:tab w:val="clear" w:pos="9638"/>
        </w:tabs>
        <w:rPr>
          <w:sz w:val="20"/>
          <w:szCs w:val="20"/>
        </w:rPr>
      </w:pPr>
    </w:p>
    <w:p w:rsidR="00EE0BF0" w:rsidRDefault="00CD3848" w:rsidP="00CD3848">
      <w:pPr>
        <w:pBdr>
          <w:top w:val="single" w:sz="4" w:space="1" w:color="auto"/>
          <w:left w:val="single" w:sz="4" w:space="0" w:color="auto"/>
          <w:bottom w:val="single" w:sz="4" w:space="1" w:color="auto"/>
          <w:right w:val="single" w:sz="4" w:space="4" w:color="auto"/>
        </w:pBdr>
        <w:shd w:val="pct5" w:color="auto" w:fill="auto"/>
        <w:ind w:left="6379" w:right="566"/>
        <w:jc w:val="center"/>
      </w:pPr>
      <w:r>
        <w:t>COPIA</w:t>
      </w:r>
    </w:p>
    <w:p w:rsidR="00CD3848" w:rsidRPr="00CD3848" w:rsidRDefault="00CD3848">
      <w:pPr>
        <w:jc w:val="center"/>
        <w:rPr>
          <w:sz w:val="16"/>
        </w:rPr>
      </w:pPr>
    </w:p>
    <w:p w:rsidR="00CD3848" w:rsidRPr="00CD3848" w:rsidRDefault="00CD3848">
      <w:pPr>
        <w:jc w:val="center"/>
        <w:rPr>
          <w:sz w:val="16"/>
        </w:rPr>
      </w:pPr>
    </w:p>
    <w:p w:rsidR="00EE0BF0" w:rsidRDefault="00EE0BF0">
      <w:pPr>
        <w:jc w:val="center"/>
        <w:rPr>
          <w:sz w:val="44"/>
          <w:szCs w:val="44"/>
        </w:rPr>
      </w:pPr>
      <w:r>
        <w:rPr>
          <w:sz w:val="44"/>
          <w:szCs w:val="44"/>
        </w:rPr>
        <w:t>DETERMINAZIONE</w:t>
      </w:r>
    </w:p>
    <w:p w:rsidR="00EE0BF0" w:rsidRDefault="00EE0BF0">
      <w:pPr>
        <w:jc w:val="center"/>
        <w:rPr>
          <w:sz w:val="28"/>
          <w:szCs w:val="28"/>
        </w:rPr>
      </w:pPr>
    </w:p>
    <w:p w:rsidR="00EE0BF0" w:rsidRDefault="00EE0BF0">
      <w:pPr>
        <w:jc w:val="center"/>
        <w:rPr>
          <w:sz w:val="28"/>
          <w:szCs w:val="28"/>
        </w:rPr>
      </w:pPr>
      <w:r>
        <w:rPr>
          <w:sz w:val="28"/>
          <w:szCs w:val="28"/>
        </w:rPr>
        <w:t>n. 124 del 18-04-2016</w:t>
      </w:r>
    </w:p>
    <w:p w:rsidR="00EE0BF0" w:rsidRDefault="00EE0BF0">
      <w:pPr>
        <w:jc w:val="center"/>
        <w:rPr>
          <w:sz w:val="28"/>
          <w:szCs w:val="28"/>
        </w:rPr>
      </w:pPr>
    </w:p>
    <w:p w:rsidR="00EE0BF0" w:rsidRDefault="00EE0BF0">
      <w:pPr>
        <w:jc w:val="center"/>
        <w:rPr>
          <w:sz w:val="28"/>
          <w:szCs w:val="28"/>
        </w:rPr>
      </w:pPr>
      <w:r>
        <w:rPr>
          <w:sz w:val="28"/>
          <w:szCs w:val="28"/>
        </w:rPr>
        <w:t>UFFICIO RAGIONERIA</w:t>
      </w:r>
    </w:p>
    <w:p w:rsidR="00EE0BF0" w:rsidRPr="00CD3848" w:rsidRDefault="00EE0BF0">
      <w:pPr>
        <w:rPr>
          <w:sz w:val="12"/>
          <w:szCs w:val="20"/>
        </w:rPr>
      </w:pPr>
    </w:p>
    <w:p w:rsidR="00EE0BF0" w:rsidRDefault="00EE0BF0">
      <w:pPr>
        <w:framePr w:w="8582" w:hSpace="141" w:wrap="auto" w:vAnchor="text" w:hAnchor="page" w:x="1761" w:y="338"/>
        <w:pBdr>
          <w:top w:val="double" w:sz="6" w:space="1" w:color="auto"/>
          <w:bottom w:val="double" w:sz="6" w:space="1" w:color="auto"/>
        </w:pBdr>
        <w:ind w:left="993" w:hanging="993"/>
        <w:jc w:val="both"/>
      </w:pPr>
      <w:r>
        <w:rPr>
          <w:b/>
          <w:bCs/>
        </w:rPr>
        <w:t>Oggetto:</w:t>
      </w:r>
      <w:r>
        <w:rPr>
          <w:b/>
          <w:bCs/>
        </w:rPr>
        <w:tab/>
        <w:t>Determinazione a contrattare per l'affidamento della concessione del servizio di tesoreria comunale per il periodo 1.07.2016 - 31.12.2019</w:t>
      </w:r>
    </w:p>
    <w:p w:rsidR="00EE0BF0" w:rsidRDefault="00EE0BF0">
      <w:pPr>
        <w:tabs>
          <w:tab w:val="left" w:pos="3261"/>
        </w:tabs>
        <w:rPr>
          <w:sz w:val="20"/>
          <w:szCs w:val="20"/>
        </w:rPr>
      </w:pPr>
    </w:p>
    <w:p w:rsidR="00EE0BF0" w:rsidRPr="00CD3848" w:rsidRDefault="00EE0BF0">
      <w:pPr>
        <w:tabs>
          <w:tab w:val="left" w:pos="3261"/>
        </w:tabs>
        <w:rPr>
          <w:sz w:val="10"/>
          <w:szCs w:val="20"/>
        </w:rPr>
      </w:pPr>
    </w:p>
    <w:p w:rsidR="00EE0BF0" w:rsidRPr="00CD3848" w:rsidRDefault="00EE0BF0">
      <w:pPr>
        <w:tabs>
          <w:tab w:val="left" w:pos="3261"/>
        </w:tabs>
        <w:rPr>
          <w:sz w:val="10"/>
          <w:szCs w:val="20"/>
        </w:rPr>
      </w:pPr>
    </w:p>
    <w:p w:rsidR="00EE0BF0" w:rsidRPr="0050742A" w:rsidRDefault="006021EB" w:rsidP="00C23766">
      <w:pPr>
        <w:jc w:val="center"/>
      </w:pPr>
      <w:r w:rsidRPr="0050742A">
        <w:t>PARERE CONTABILE E ATTESTAZIONE DI COPERTURA FINANZIARIA</w:t>
      </w:r>
    </w:p>
    <w:p w:rsidR="00EE0BF0" w:rsidRDefault="00EE0BF0">
      <w:pPr>
        <w:jc w:val="center"/>
        <w:rPr>
          <w:sz w:val="20"/>
          <w:szCs w:val="20"/>
        </w:rPr>
      </w:pPr>
      <w:r>
        <w:rPr>
          <w:sz w:val="20"/>
          <w:szCs w:val="20"/>
        </w:rPr>
        <w:t>-------------------------------------------------</w:t>
      </w:r>
    </w:p>
    <w:p w:rsidR="00EE0BF0" w:rsidRPr="00CD3848" w:rsidRDefault="00EE0BF0">
      <w:pPr>
        <w:rPr>
          <w:b/>
          <w:bCs/>
          <w:sz w:val="10"/>
          <w:szCs w:val="20"/>
        </w:rPr>
      </w:pPr>
    </w:p>
    <w:p w:rsidR="00EE0BF0" w:rsidRPr="00951190" w:rsidRDefault="000465D7">
      <w:pPr>
        <w:jc w:val="center"/>
        <w:rPr>
          <w:b/>
        </w:rPr>
      </w:pPr>
      <w:r>
        <w:rPr>
          <w:b/>
        </w:rPr>
        <w:t>I</w:t>
      </w:r>
      <w:r w:rsidR="006021EB" w:rsidRPr="00951190">
        <w:rPr>
          <w:b/>
        </w:rPr>
        <w:t>l Responsabile del Servizio finanziario</w:t>
      </w:r>
    </w:p>
    <w:p w:rsidR="00803E42" w:rsidRDefault="00EE0BF0" w:rsidP="00EE0BF0">
      <w:pPr>
        <w:spacing w:before="120"/>
        <w:jc w:val="both"/>
      </w:pPr>
      <w:r>
        <w:t>Dà atto di aver e</w:t>
      </w:r>
      <w:r w:rsidRPr="00EE0BF0">
        <w:t xml:space="preserve">ffettuato il controllo contabile </w:t>
      </w:r>
      <w:r>
        <w:t>sulla proposta del</w:t>
      </w:r>
      <w:r w:rsidRPr="00EE0BF0">
        <w:t>la determinazione di seguito riportata ai sensi dell’art. 147</w:t>
      </w:r>
      <w:r>
        <w:t>-</w:t>
      </w:r>
      <w:r w:rsidRPr="00EE0BF0">
        <w:t>bis del D.Lgs</w:t>
      </w:r>
      <w:r>
        <w:t>.</w:t>
      </w:r>
      <w:r w:rsidRPr="00EE0BF0">
        <w:t xml:space="preserve"> 267/2000 e dell’art. 3, c</w:t>
      </w:r>
      <w:r>
        <w:t>omma</w:t>
      </w:r>
      <w:r w:rsidRPr="00EE0BF0">
        <w:t xml:space="preserve"> 3, del vigente regolamento sui controlli interni</w:t>
      </w:r>
      <w:r w:rsidR="00CB7054">
        <w:t>.</w:t>
      </w:r>
    </w:p>
    <w:p w:rsidR="00CB06E1" w:rsidRDefault="00CB06E1" w:rsidP="00721C3E">
      <w:pPr>
        <w:spacing w:before="120"/>
        <w:jc w:val="both"/>
      </w:pPr>
      <w:r>
        <w:t>Non impegna ed è quindi esecutiva dalla data di adozione.</w:t>
      </w:r>
    </w:p>
    <w:p w:rsidR="00000000" w:rsidRDefault="00866481">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p>
    <w:p w:rsidR="00000000" w:rsidRDefault="00866481">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p>
    <w:tbl>
      <w:tblPr>
        <w:tblW w:w="0" w:type="auto"/>
        <w:tblCellMar>
          <w:left w:w="70" w:type="dxa"/>
          <w:right w:w="70" w:type="dxa"/>
        </w:tblCellMar>
        <w:tblLook w:val="0000"/>
      </w:tblPr>
      <w:tblGrid>
        <w:gridCol w:w="4605"/>
        <w:gridCol w:w="4606"/>
      </w:tblGrid>
      <w:tr w:rsidR="00CB06E1" w:rsidTr="00685C23">
        <w:tc>
          <w:tcPr>
            <w:tcW w:w="4605" w:type="dxa"/>
            <w:tcBorders>
              <w:top w:val="nil"/>
              <w:left w:val="nil"/>
              <w:bottom w:val="nil"/>
              <w:right w:val="nil"/>
            </w:tcBorders>
          </w:tcPr>
          <w:p w:rsidR="00CB06E1" w:rsidRDefault="00CB06E1" w:rsidP="00685C23">
            <w:pPr>
              <w:jc w:val="both"/>
            </w:pPr>
            <w:r>
              <w:t>Valdobbiadene, 18-04-2016</w:t>
            </w:r>
          </w:p>
        </w:tc>
        <w:tc>
          <w:tcPr>
            <w:tcW w:w="4606" w:type="dxa"/>
            <w:tcBorders>
              <w:top w:val="nil"/>
              <w:left w:val="nil"/>
              <w:bottom w:val="nil"/>
              <w:right w:val="nil"/>
            </w:tcBorders>
          </w:tcPr>
          <w:p w:rsidR="00CB06E1" w:rsidRDefault="00CB06E1" w:rsidP="00685C23">
            <w:pPr>
              <w:jc w:val="center"/>
            </w:pPr>
            <w:r>
              <w:t>Il Responsabile del servizio</w:t>
            </w:r>
          </w:p>
        </w:tc>
      </w:tr>
      <w:tr w:rsidR="00CB06E1" w:rsidTr="00685C23">
        <w:tc>
          <w:tcPr>
            <w:tcW w:w="4605" w:type="dxa"/>
            <w:tcBorders>
              <w:top w:val="nil"/>
              <w:left w:val="nil"/>
              <w:bottom w:val="nil"/>
              <w:right w:val="nil"/>
            </w:tcBorders>
          </w:tcPr>
          <w:p w:rsidR="00CB06E1" w:rsidRDefault="00CB06E1" w:rsidP="00685C23">
            <w:pPr>
              <w:jc w:val="both"/>
            </w:pPr>
          </w:p>
        </w:tc>
        <w:tc>
          <w:tcPr>
            <w:tcW w:w="4606" w:type="dxa"/>
            <w:tcBorders>
              <w:top w:val="nil"/>
              <w:left w:val="nil"/>
              <w:bottom w:val="nil"/>
              <w:right w:val="nil"/>
            </w:tcBorders>
          </w:tcPr>
          <w:p w:rsidR="00CB06E1" w:rsidRPr="00197D37" w:rsidRDefault="00157830" w:rsidP="00157830">
            <w:pPr>
              <w:jc w:val="center"/>
              <w:rPr>
                <w:bCs/>
                <w:i/>
              </w:rPr>
            </w:pPr>
            <w:r w:rsidRPr="00197D37">
              <w:rPr>
                <w:i/>
              </w:rPr>
              <w:t xml:space="preserve">f.to </w:t>
            </w:r>
            <w:r w:rsidR="00CB06E1" w:rsidRPr="00197D37">
              <w:rPr>
                <w:bCs/>
                <w:i/>
              </w:rPr>
              <w:t>Santino</w:t>
            </w:r>
            <w:r w:rsidRPr="00197D37">
              <w:rPr>
                <w:bCs/>
                <w:i/>
              </w:rPr>
              <w:t xml:space="preserve"> Quagliotto</w:t>
            </w:r>
          </w:p>
          <w:p w:rsidR="00157830" w:rsidRPr="00CB06E1" w:rsidRDefault="00157830" w:rsidP="00157830">
            <w:pPr>
              <w:jc w:val="center"/>
            </w:pPr>
          </w:p>
        </w:tc>
      </w:tr>
    </w:tbl>
    <w:p w:rsidR="00CB06E1" w:rsidRDefault="00CB06E1" w:rsidP="00027A5E">
      <w:pPr>
        <w:tabs>
          <w:tab w:val="left" w:pos="2694"/>
        </w:tabs>
        <w:spacing w:before="60"/>
        <w:jc w:val="both"/>
      </w:pPr>
    </w:p>
    <w:p w:rsidR="0082188F" w:rsidRDefault="0082188F">
      <w:pPr>
        <w:pStyle w:val="Intestazione"/>
        <w:tabs>
          <w:tab w:val="clear" w:pos="4819"/>
          <w:tab w:val="clear" w:pos="9638"/>
        </w:tabs>
        <w:jc w:val="center"/>
        <w:rPr>
          <w:b/>
          <w:bCs/>
          <w:szCs w:val="28"/>
        </w:rPr>
      </w:pPr>
    </w:p>
    <w:p w:rsidR="0082188F" w:rsidRDefault="0082188F">
      <w:pPr>
        <w:pStyle w:val="Intestazione"/>
        <w:tabs>
          <w:tab w:val="clear" w:pos="4819"/>
          <w:tab w:val="clear" w:pos="9638"/>
        </w:tabs>
        <w:jc w:val="center"/>
        <w:rPr>
          <w:b/>
          <w:bCs/>
          <w:szCs w:val="28"/>
        </w:rPr>
      </w:pPr>
    </w:p>
    <w:tbl>
      <w:tblPr>
        <w:tblW w:w="0" w:type="auto"/>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37"/>
        <w:gridCol w:w="426"/>
        <w:gridCol w:w="1984"/>
      </w:tblGrid>
      <w:tr w:rsidR="0082188F" w:rsidRPr="0082188F">
        <w:trPr>
          <w:cantSplit/>
        </w:trPr>
        <w:tc>
          <w:tcPr>
            <w:tcW w:w="3047" w:type="dxa"/>
            <w:gridSpan w:val="3"/>
            <w:tcBorders>
              <w:top w:val="nil"/>
              <w:left w:val="nil"/>
              <w:bottom w:val="nil"/>
              <w:right w:val="nil"/>
            </w:tcBorders>
            <w:tcMar>
              <w:left w:w="70" w:type="dxa"/>
              <w:right w:w="70" w:type="dxa"/>
            </w:tcMar>
          </w:tcPr>
          <w:p w:rsidR="0082188F" w:rsidRPr="0082188F" w:rsidRDefault="0082188F" w:rsidP="0082188F">
            <w:pPr>
              <w:widowControl/>
              <w:spacing w:before="60"/>
              <w:jc w:val="center"/>
              <w:rPr>
                <w:rFonts w:ascii="Arial" w:hAnsi="Arial" w:cs="Arial"/>
                <w:sz w:val="18"/>
                <w:szCs w:val="18"/>
              </w:rPr>
            </w:pPr>
            <w:r w:rsidRPr="0082188F">
              <w:rPr>
                <w:rFonts w:ascii="Arial" w:hAnsi="Arial" w:cs="Arial"/>
                <w:sz w:val="18"/>
                <w:szCs w:val="18"/>
              </w:rPr>
              <w:t>COMUNE DI VALDOBBIADENE</w:t>
            </w:r>
          </w:p>
        </w:tc>
      </w:tr>
      <w:tr w:rsidR="0082188F" w:rsidRPr="0082188F">
        <w:trPr>
          <w:cantSplit/>
        </w:trPr>
        <w:tc>
          <w:tcPr>
            <w:tcW w:w="3047" w:type="dxa"/>
            <w:gridSpan w:val="3"/>
            <w:tcBorders>
              <w:top w:val="nil"/>
              <w:left w:val="nil"/>
              <w:bottom w:val="nil"/>
              <w:right w:val="nil"/>
            </w:tcBorders>
            <w:tcMar>
              <w:left w:w="70" w:type="dxa"/>
              <w:right w:w="70" w:type="dxa"/>
            </w:tcMar>
          </w:tcPr>
          <w:p w:rsidR="0082188F" w:rsidRPr="0082188F" w:rsidRDefault="0082188F" w:rsidP="0082188F">
            <w:pPr>
              <w:widowControl/>
              <w:jc w:val="center"/>
              <w:rPr>
                <w:rFonts w:ascii="Arial" w:hAnsi="Arial" w:cs="Arial"/>
                <w:sz w:val="18"/>
                <w:szCs w:val="18"/>
              </w:rPr>
            </w:pPr>
            <w:r w:rsidRPr="0082188F">
              <w:rPr>
                <w:rFonts w:ascii="Arial" w:hAnsi="Arial" w:cs="Arial"/>
                <w:sz w:val="18"/>
                <w:szCs w:val="18"/>
              </w:rPr>
              <w:t>ALBO PRETORIO</w:t>
            </w:r>
          </w:p>
        </w:tc>
      </w:tr>
      <w:tr w:rsidR="0082188F" w:rsidRPr="0082188F">
        <w:tc>
          <w:tcPr>
            <w:tcW w:w="1063" w:type="dxa"/>
            <w:gridSpan w:val="2"/>
            <w:tcBorders>
              <w:top w:val="nil"/>
              <w:left w:val="nil"/>
              <w:bottom w:val="nil"/>
              <w:right w:val="nil"/>
            </w:tcBorders>
            <w:tcMar>
              <w:left w:w="70" w:type="dxa"/>
              <w:right w:w="70" w:type="dxa"/>
            </w:tcMar>
          </w:tcPr>
          <w:p w:rsidR="0082188F" w:rsidRPr="0082188F" w:rsidRDefault="0082188F" w:rsidP="0082188F">
            <w:pPr>
              <w:widowControl/>
              <w:spacing w:before="120" w:after="60"/>
              <w:jc w:val="both"/>
              <w:rPr>
                <w:rFonts w:ascii="Arial" w:hAnsi="Arial" w:cs="Arial"/>
                <w:sz w:val="18"/>
                <w:szCs w:val="18"/>
              </w:rPr>
            </w:pPr>
            <w:r w:rsidRPr="0082188F">
              <w:rPr>
                <w:rFonts w:ascii="Arial" w:hAnsi="Arial" w:cs="Arial"/>
                <w:sz w:val="18"/>
                <w:szCs w:val="18"/>
              </w:rPr>
              <w:t xml:space="preserve">Reg. al n. </w:t>
            </w:r>
          </w:p>
        </w:tc>
        <w:tc>
          <w:tcPr>
            <w:tcW w:w="1984" w:type="dxa"/>
            <w:tcBorders>
              <w:top w:val="nil"/>
              <w:left w:val="nil"/>
              <w:bottom w:val="nil"/>
              <w:right w:val="nil"/>
            </w:tcBorders>
            <w:tcMar>
              <w:left w:w="70" w:type="dxa"/>
              <w:right w:w="70" w:type="dxa"/>
            </w:tcMar>
          </w:tcPr>
          <w:p w:rsidR="0082188F" w:rsidRPr="0082188F" w:rsidRDefault="0082188F" w:rsidP="0082188F">
            <w:pPr>
              <w:widowControl/>
              <w:spacing w:before="120" w:after="60"/>
              <w:jc w:val="both"/>
              <w:rPr>
                <w:rFonts w:ascii="Arial" w:hAnsi="Arial" w:cs="Arial"/>
                <w:sz w:val="18"/>
                <w:szCs w:val="18"/>
              </w:rPr>
            </w:pPr>
            <w:r w:rsidRPr="0082188F">
              <w:rPr>
                <w:rFonts w:ascii="Arial" w:hAnsi="Arial" w:cs="Arial"/>
                <w:sz w:val="18"/>
                <w:szCs w:val="18"/>
              </w:rPr>
              <w:t>……………………….</w:t>
            </w:r>
          </w:p>
        </w:tc>
      </w:tr>
      <w:tr w:rsidR="0082188F" w:rsidRPr="0082188F">
        <w:trPr>
          <w:cantSplit/>
        </w:trPr>
        <w:tc>
          <w:tcPr>
            <w:tcW w:w="3047" w:type="dxa"/>
            <w:gridSpan w:val="3"/>
            <w:tcBorders>
              <w:top w:val="nil"/>
              <w:left w:val="nil"/>
              <w:bottom w:val="nil"/>
              <w:right w:val="nil"/>
            </w:tcBorders>
            <w:tcMar>
              <w:left w:w="70" w:type="dxa"/>
              <w:right w:w="70" w:type="dxa"/>
            </w:tcMar>
          </w:tcPr>
          <w:p w:rsidR="0082188F" w:rsidRPr="0082188F" w:rsidRDefault="0082188F" w:rsidP="0082188F">
            <w:pPr>
              <w:widowControl/>
              <w:jc w:val="center"/>
              <w:rPr>
                <w:rFonts w:ascii="Arial" w:hAnsi="Arial" w:cs="Arial"/>
                <w:smallCaps/>
                <w:sz w:val="18"/>
                <w:szCs w:val="18"/>
              </w:rPr>
            </w:pPr>
            <w:r w:rsidRPr="0082188F">
              <w:rPr>
                <w:rFonts w:ascii="Arial" w:hAnsi="Arial" w:cs="Arial"/>
                <w:smallCaps/>
                <w:sz w:val="18"/>
                <w:szCs w:val="18"/>
              </w:rPr>
              <w:t>PUBBLICATO</w:t>
            </w:r>
          </w:p>
        </w:tc>
      </w:tr>
      <w:tr w:rsidR="0082188F" w:rsidRPr="0082188F">
        <w:tc>
          <w:tcPr>
            <w:tcW w:w="637" w:type="dxa"/>
            <w:tcBorders>
              <w:top w:val="nil"/>
              <w:left w:val="nil"/>
              <w:bottom w:val="nil"/>
              <w:right w:val="nil"/>
            </w:tcBorders>
            <w:tcMar>
              <w:left w:w="70" w:type="dxa"/>
              <w:right w:w="70" w:type="dxa"/>
            </w:tcMar>
          </w:tcPr>
          <w:p w:rsidR="0082188F" w:rsidRPr="0082188F" w:rsidRDefault="0082188F" w:rsidP="0082188F">
            <w:pPr>
              <w:widowControl/>
              <w:spacing w:before="120"/>
              <w:jc w:val="both"/>
              <w:rPr>
                <w:rFonts w:ascii="Arial" w:hAnsi="Arial" w:cs="Arial"/>
                <w:sz w:val="18"/>
                <w:szCs w:val="18"/>
              </w:rPr>
            </w:pPr>
            <w:r w:rsidRPr="0082188F">
              <w:rPr>
                <w:rFonts w:ascii="Arial" w:hAnsi="Arial" w:cs="Arial"/>
                <w:sz w:val="18"/>
                <w:szCs w:val="18"/>
              </w:rPr>
              <w:t>Dal</w:t>
            </w:r>
          </w:p>
        </w:tc>
        <w:tc>
          <w:tcPr>
            <w:tcW w:w="2410" w:type="dxa"/>
            <w:gridSpan w:val="2"/>
            <w:tcBorders>
              <w:top w:val="nil"/>
              <w:left w:val="nil"/>
              <w:bottom w:val="nil"/>
              <w:right w:val="nil"/>
            </w:tcBorders>
            <w:tcMar>
              <w:left w:w="70" w:type="dxa"/>
              <w:right w:w="70" w:type="dxa"/>
            </w:tcMar>
          </w:tcPr>
          <w:p w:rsidR="0082188F" w:rsidRPr="0082188F" w:rsidRDefault="00C114D0" w:rsidP="0082188F">
            <w:pPr>
              <w:widowControl/>
              <w:spacing w:before="120"/>
              <w:jc w:val="both"/>
              <w:rPr>
                <w:rFonts w:ascii="Arial" w:hAnsi="Arial" w:cs="Arial"/>
                <w:sz w:val="18"/>
                <w:szCs w:val="18"/>
              </w:rPr>
            </w:pPr>
            <w:r>
              <w:rPr>
                <w:rFonts w:ascii="Arial" w:hAnsi="Arial" w:cs="Arial"/>
                <w:sz w:val="18"/>
                <w:szCs w:val="18"/>
              </w:rPr>
              <w:t>……………………………..</w:t>
            </w:r>
          </w:p>
        </w:tc>
      </w:tr>
      <w:tr w:rsidR="0082188F" w:rsidRPr="0082188F">
        <w:tc>
          <w:tcPr>
            <w:tcW w:w="637" w:type="dxa"/>
            <w:tcBorders>
              <w:top w:val="nil"/>
              <w:left w:val="nil"/>
              <w:bottom w:val="nil"/>
              <w:right w:val="nil"/>
            </w:tcBorders>
            <w:tcMar>
              <w:left w:w="70" w:type="dxa"/>
              <w:right w:w="70" w:type="dxa"/>
            </w:tcMar>
          </w:tcPr>
          <w:p w:rsidR="0082188F" w:rsidRPr="0082188F" w:rsidRDefault="0082188F" w:rsidP="0082188F">
            <w:pPr>
              <w:widowControl/>
              <w:spacing w:before="120"/>
              <w:jc w:val="both"/>
              <w:rPr>
                <w:rFonts w:ascii="Arial" w:hAnsi="Arial" w:cs="Arial"/>
                <w:sz w:val="18"/>
                <w:szCs w:val="18"/>
              </w:rPr>
            </w:pPr>
            <w:r w:rsidRPr="0082188F">
              <w:rPr>
                <w:rFonts w:ascii="Arial" w:hAnsi="Arial" w:cs="Arial"/>
                <w:sz w:val="18"/>
                <w:szCs w:val="18"/>
              </w:rPr>
              <w:t xml:space="preserve">al </w:t>
            </w:r>
          </w:p>
        </w:tc>
        <w:tc>
          <w:tcPr>
            <w:tcW w:w="2410" w:type="dxa"/>
            <w:gridSpan w:val="2"/>
            <w:tcBorders>
              <w:top w:val="nil"/>
              <w:left w:val="nil"/>
              <w:bottom w:val="nil"/>
              <w:right w:val="nil"/>
            </w:tcBorders>
            <w:tcMar>
              <w:left w:w="70" w:type="dxa"/>
              <w:right w:w="70" w:type="dxa"/>
            </w:tcMar>
          </w:tcPr>
          <w:p w:rsidR="0082188F" w:rsidRPr="0082188F" w:rsidRDefault="00C114D0" w:rsidP="0082188F">
            <w:pPr>
              <w:widowControl/>
              <w:spacing w:before="120"/>
              <w:jc w:val="both"/>
              <w:rPr>
                <w:rFonts w:ascii="Arial" w:hAnsi="Arial" w:cs="Arial"/>
                <w:sz w:val="18"/>
                <w:szCs w:val="18"/>
                <w:lang w:val="en-GB"/>
              </w:rPr>
            </w:pPr>
            <w:r>
              <w:rPr>
                <w:rFonts w:ascii="Arial" w:hAnsi="Arial" w:cs="Arial"/>
                <w:sz w:val="18"/>
                <w:szCs w:val="18"/>
                <w:lang w:val="en-GB"/>
              </w:rPr>
              <w:t>……………………………..</w:t>
            </w:r>
          </w:p>
        </w:tc>
      </w:tr>
    </w:tbl>
    <w:p w:rsidR="0082188F" w:rsidRPr="0082188F" w:rsidRDefault="0082188F" w:rsidP="0082188F">
      <w:pPr>
        <w:widowControl/>
        <w:jc w:val="both"/>
        <w:rPr>
          <w:i/>
          <w:iCs/>
          <w:sz w:val="16"/>
          <w:szCs w:val="16"/>
          <w:lang w:val="en-GB"/>
        </w:rPr>
      </w:pPr>
    </w:p>
    <w:p w:rsidR="00866481" w:rsidRDefault="00866481">
      <w:pPr>
        <w:widowControl/>
        <w:autoSpaceDE/>
        <w:autoSpaceDN/>
        <w:adjustRightInd/>
        <w:spacing w:after="200" w:line="276" w:lineRule="auto"/>
        <w:rPr>
          <w:b/>
          <w:bCs/>
          <w:szCs w:val="28"/>
        </w:rPr>
      </w:pPr>
      <w:r>
        <w:rPr>
          <w:b/>
          <w:bCs/>
          <w:szCs w:val="28"/>
        </w:rPr>
        <w:br w:type="page"/>
      </w:r>
    </w:p>
    <w:p w:rsidR="00EE0BF0" w:rsidRPr="00244706" w:rsidRDefault="00EE0BF0">
      <w:pPr>
        <w:pStyle w:val="Intestazione"/>
        <w:tabs>
          <w:tab w:val="clear" w:pos="4819"/>
          <w:tab w:val="clear" w:pos="9638"/>
        </w:tabs>
        <w:jc w:val="center"/>
        <w:rPr>
          <w:b/>
          <w:bCs/>
          <w:szCs w:val="28"/>
        </w:rPr>
      </w:pPr>
      <w:r w:rsidRPr="00244706">
        <w:rPr>
          <w:b/>
          <w:bCs/>
          <w:szCs w:val="28"/>
        </w:rPr>
        <w:lastRenderedPageBreak/>
        <w:t>IL RESPONSABILE DEL SERVIZIO</w:t>
      </w:r>
    </w:p>
    <w:p w:rsidR="00EE0BF0" w:rsidRDefault="00EE0BF0">
      <w:pPr>
        <w:rPr>
          <w:sz w:val="20"/>
          <w:szCs w:val="20"/>
        </w:rPr>
      </w:pPr>
    </w:p>
    <w:p w:rsidR="00521A6F" w:rsidRDefault="00521A6F" w:rsidP="001810E0">
      <w:pPr>
        <w:widowControl/>
        <w:autoSpaceDE/>
        <w:autoSpaceDN/>
        <w:adjustRightInd/>
        <w:jc w:val="both"/>
      </w:pPr>
      <w:r>
        <w:t>RICHIAMATE:</w:t>
      </w:r>
    </w:p>
    <w:p w:rsidR="00521A6F" w:rsidRDefault="00521A6F" w:rsidP="00521A6F">
      <w:pPr>
        <w:widowControl/>
        <w:numPr>
          <w:ilvl w:val="0"/>
          <w:numId w:val="2"/>
        </w:numPr>
        <w:overflowPunct w:val="0"/>
        <w:jc w:val="both"/>
        <w:textAlignment w:val="baseline"/>
      </w:pPr>
      <w:r w:rsidRPr="00075DE4">
        <w:t>la determinazione n. 5</w:t>
      </w:r>
      <w:r>
        <w:t>37</w:t>
      </w:r>
      <w:r w:rsidRPr="00075DE4">
        <w:t xml:space="preserve"> del </w:t>
      </w:r>
      <w:r>
        <w:t>6 novembre 2015</w:t>
      </w:r>
      <w:r w:rsidRPr="00075DE4">
        <w:t xml:space="preserve">, con </w:t>
      </w:r>
      <w:r>
        <w:t xml:space="preserve">la quale </w:t>
      </w:r>
      <w:r w:rsidRPr="00075DE4">
        <w:t>il sottoscritto responsabile</w:t>
      </w:r>
      <w:r>
        <w:t xml:space="preserve"> ha indetto una gara per l’affidamento </w:t>
      </w:r>
      <w:r w:rsidRPr="00075DE4">
        <w:t>del servizio di tesoreria comunale per il periodo 2016</w:t>
      </w:r>
      <w:r>
        <w:t>/</w:t>
      </w:r>
      <w:r w:rsidRPr="00075DE4">
        <w:t>2019</w:t>
      </w:r>
      <w:r>
        <w:t>,</w:t>
      </w:r>
      <w:r w:rsidRPr="00532BD6">
        <w:t xml:space="preserve"> appro</w:t>
      </w:r>
      <w:r>
        <w:t>vando</w:t>
      </w:r>
      <w:r w:rsidRPr="00532BD6">
        <w:t xml:space="preserve"> il relativo bando di gara redatto</w:t>
      </w:r>
      <w:r>
        <w:t xml:space="preserve"> in base allo schema di convenzione approvato dal Consiglio comunale con deliberazione n. 36 del 5 novembre 2015;</w:t>
      </w:r>
    </w:p>
    <w:p w:rsidR="00521A6F" w:rsidRDefault="00521A6F" w:rsidP="00521A6F">
      <w:pPr>
        <w:widowControl/>
        <w:numPr>
          <w:ilvl w:val="0"/>
          <w:numId w:val="2"/>
        </w:numPr>
        <w:overflowPunct w:val="0"/>
        <w:jc w:val="both"/>
        <w:textAlignment w:val="baseline"/>
      </w:pPr>
      <w:r>
        <w:t xml:space="preserve">la determinazione n. 606 del 17 dicembre 2015, con la quale il sottoscritto responsabile, nel prendere atto che la gara era andata deserta, ha indetto una trattativa privata per l’affidamento del servizio per il medesimo periodo contrattuale; </w:t>
      </w:r>
    </w:p>
    <w:p w:rsidR="00521A6F" w:rsidRDefault="00521A6F" w:rsidP="00521A6F">
      <w:pPr>
        <w:widowControl/>
        <w:numPr>
          <w:ilvl w:val="0"/>
          <w:numId w:val="2"/>
        </w:numPr>
        <w:overflowPunct w:val="0"/>
        <w:jc w:val="both"/>
        <w:textAlignment w:val="baseline"/>
      </w:pPr>
      <w:r>
        <w:t>la deliberazione della Giunta comunale n. 135 del 30 dicembre 2012, con cui è stata disposta la proroga del servizio di tesoreria in essere fino al 30 giugno 2016, per consentire all’ente di indire una nuova gara per l’affidamento del servizio di tesoreria sulla base di un nuovo schema di convenzione da approvarsi da parte del Consiglio comunale;</w:t>
      </w:r>
    </w:p>
    <w:p w:rsidR="00521A6F" w:rsidRDefault="00521A6F" w:rsidP="00521A6F">
      <w:pPr>
        <w:widowControl/>
        <w:numPr>
          <w:ilvl w:val="0"/>
          <w:numId w:val="2"/>
        </w:numPr>
        <w:overflowPunct w:val="0"/>
        <w:jc w:val="both"/>
        <w:textAlignment w:val="baseline"/>
      </w:pPr>
      <w:r>
        <w:t>la deliberazione del Consiglio comunale n. 20 del 29 marzo 2016, con la quale è stato approvato un nuovo schema di convenzione disciplinante il servizio di tesoreria comunale;</w:t>
      </w:r>
    </w:p>
    <w:p w:rsidR="00521A6F" w:rsidRDefault="00521A6F" w:rsidP="001810E0">
      <w:pPr>
        <w:widowControl/>
        <w:autoSpaceDE/>
        <w:autoSpaceDN/>
        <w:adjustRightInd/>
        <w:jc w:val="both"/>
      </w:pPr>
    </w:p>
    <w:p w:rsidR="00521A6F" w:rsidRPr="00FD5678" w:rsidRDefault="00521A6F" w:rsidP="001810E0">
      <w:pPr>
        <w:pStyle w:val="rtf2rtf1Standard"/>
        <w:tabs>
          <w:tab w:val="left" w:pos="0"/>
        </w:tabs>
        <w:jc w:val="both"/>
        <w:rPr>
          <w:rFonts w:eastAsia="Times New Roman" w:cs="Trebuchet MS"/>
          <w:bCs/>
          <w:szCs w:val="22"/>
        </w:rPr>
      </w:pPr>
      <w:r w:rsidRPr="00FD5678">
        <w:rPr>
          <w:rFonts w:eastAsia="Times New Roman" w:cs="Trebuchet MS"/>
          <w:bCs/>
          <w:szCs w:val="22"/>
        </w:rPr>
        <w:t>VISTO l’art. 1, comma 499, della legge 296/2006, come modificato dall’art. 7 del decreto legge 7 maggio 2012, n. 52, convertito in legge n. 94 del 6 luglio 2012, che prevede l’utilizzo delle convenzioni – quadro regionali o stipulate da Consip S.p.A. per l’acquisizione di beni e servizi da parte delle pubbliche amministrazioni o l’utilizzo dei relativi parametri di prezzo-qualità come limiti massimi per la stipulazione dei contratti, nonché il successivo comma 450, che ha introdotto l’obbligo del ricorso al mercato elettronico della pubblica amministrazione per gli acquisti di beni e servizi di importo inferiore alla soglia di rilievo comunitario;</w:t>
      </w:r>
    </w:p>
    <w:p w:rsidR="00521A6F" w:rsidRPr="00FD5678" w:rsidRDefault="00521A6F" w:rsidP="001810E0">
      <w:pPr>
        <w:pStyle w:val="rtf2rtf1Standard"/>
        <w:tabs>
          <w:tab w:val="left" w:pos="0"/>
        </w:tabs>
        <w:jc w:val="both"/>
        <w:rPr>
          <w:rFonts w:eastAsia="Times New Roman" w:cs="Trebuchet MS"/>
          <w:bCs/>
          <w:szCs w:val="22"/>
        </w:rPr>
      </w:pPr>
    </w:p>
    <w:p w:rsidR="00521A6F" w:rsidRPr="0054110A" w:rsidRDefault="00521A6F" w:rsidP="001810E0">
      <w:pPr>
        <w:pStyle w:val="rtf2rtf1Standard"/>
        <w:tabs>
          <w:tab w:val="left" w:pos="0"/>
        </w:tabs>
        <w:jc w:val="both"/>
        <w:rPr>
          <w:rFonts w:eastAsia="Times New Roman" w:cs="Trebuchet MS"/>
          <w:bCs/>
          <w:szCs w:val="22"/>
        </w:rPr>
      </w:pPr>
      <w:r w:rsidRPr="00FD5678">
        <w:rPr>
          <w:rFonts w:eastAsia="Times New Roman" w:cs="Trebuchet MS"/>
          <w:bCs/>
          <w:szCs w:val="22"/>
        </w:rPr>
        <w:t>DATO ATTO</w:t>
      </w:r>
      <w:r>
        <w:rPr>
          <w:rFonts w:eastAsia="Times New Roman" w:cs="Trebuchet MS"/>
          <w:bCs/>
          <w:szCs w:val="22"/>
        </w:rPr>
        <w:t xml:space="preserve"> </w:t>
      </w:r>
      <w:r w:rsidRPr="00FD5678">
        <w:rPr>
          <w:rFonts w:eastAsia="Times New Roman" w:cs="Trebuchet MS"/>
          <w:szCs w:val="22"/>
        </w:rPr>
        <w:t>che tra le iniziative di acquisto in cor</w:t>
      </w:r>
      <w:r>
        <w:rPr>
          <w:rFonts w:eastAsia="Times New Roman" w:cs="Trebuchet MS"/>
          <w:szCs w:val="22"/>
        </w:rPr>
        <w:t>so da parte della CONSIP S.p.A.</w:t>
      </w:r>
      <w:r w:rsidRPr="00FD5678">
        <w:rPr>
          <w:rFonts w:eastAsia="Times New Roman" w:cs="Trebuchet MS"/>
          <w:szCs w:val="22"/>
        </w:rPr>
        <w:t xml:space="preserve"> non è contemplata la categoria di servizio in oggetto;</w:t>
      </w:r>
    </w:p>
    <w:p w:rsidR="00521A6F" w:rsidRPr="00FD5678" w:rsidRDefault="00521A6F" w:rsidP="001810E0">
      <w:pPr>
        <w:pStyle w:val="rtf2rtf1Standard"/>
        <w:tabs>
          <w:tab w:val="left" w:pos="0"/>
        </w:tabs>
        <w:jc w:val="both"/>
        <w:rPr>
          <w:rFonts w:eastAsia="Times New Roman" w:cs="Trebuchet MS"/>
          <w:szCs w:val="22"/>
        </w:rPr>
      </w:pPr>
    </w:p>
    <w:p w:rsidR="00521A6F" w:rsidRDefault="00521A6F" w:rsidP="001810E0">
      <w:pPr>
        <w:widowControl/>
        <w:autoSpaceDE/>
        <w:autoSpaceDN/>
        <w:adjustRightInd/>
        <w:jc w:val="both"/>
      </w:pPr>
      <w:r>
        <w:t xml:space="preserve">RILEVATA la necessità di indire una nuova procedura di affidamento della concessione del servizio di cui trattasi; </w:t>
      </w:r>
    </w:p>
    <w:p w:rsidR="00521A6F" w:rsidRDefault="00521A6F" w:rsidP="001810E0">
      <w:pPr>
        <w:widowControl/>
        <w:autoSpaceDE/>
        <w:autoSpaceDN/>
        <w:adjustRightInd/>
        <w:jc w:val="both"/>
      </w:pPr>
    </w:p>
    <w:p w:rsidR="00521A6F" w:rsidRPr="00746FE5" w:rsidRDefault="00521A6F" w:rsidP="001810E0">
      <w:pPr>
        <w:widowControl/>
        <w:autoSpaceDE/>
        <w:autoSpaceDN/>
        <w:adjustRightInd/>
        <w:jc w:val="both"/>
      </w:pPr>
      <w:r>
        <w:t xml:space="preserve">PRESO ATTO che secondo il </w:t>
      </w:r>
      <w:r w:rsidRPr="00746FE5">
        <w:t>Consiglio di Stato, Sezione V</w:t>
      </w:r>
      <w:r>
        <w:t>, l</w:t>
      </w:r>
      <w:r w:rsidRPr="00746FE5">
        <w:t xml:space="preserve">’affidamento del servizio di tesoreria si sostanzia in una concessione di servizi che, in linea di principio, resta assoggettato alla disciplina del codice degli appalti solo nei limiti specificati dall’art. 30 </w:t>
      </w:r>
      <w:r>
        <w:t>(</w:t>
      </w:r>
      <w:r w:rsidRPr="00746FE5">
        <w:t>Sentenza n. 3377</w:t>
      </w:r>
      <w:r>
        <w:t xml:space="preserve"> del 6 giugno 2011);</w:t>
      </w:r>
    </w:p>
    <w:p w:rsidR="00521A6F" w:rsidRDefault="00521A6F" w:rsidP="001810E0">
      <w:pPr>
        <w:widowControl/>
        <w:autoSpaceDE/>
        <w:autoSpaceDN/>
        <w:adjustRightInd/>
        <w:jc w:val="both"/>
      </w:pPr>
    </w:p>
    <w:p w:rsidR="00521A6F" w:rsidRPr="00FD5678" w:rsidRDefault="00521A6F" w:rsidP="001810E0">
      <w:pPr>
        <w:pStyle w:val="rtf2rtf1Standard"/>
        <w:tabs>
          <w:tab w:val="left" w:pos="0"/>
        </w:tabs>
        <w:jc w:val="both"/>
        <w:rPr>
          <w:rFonts w:eastAsia="Times New Roman" w:cs="Trebuchet MS"/>
          <w:szCs w:val="22"/>
        </w:rPr>
      </w:pPr>
      <w:r w:rsidRPr="00FD5678">
        <w:rPr>
          <w:rFonts w:eastAsia="Times New Roman" w:cs="Trebuchet MS"/>
          <w:szCs w:val="22"/>
        </w:rPr>
        <w:t xml:space="preserve">VISTO del D.Lgs. 163/2006, Codice dei contratti pubblici di lavori, servizi e forniture, e successive modificazioni, e in particolare l’art. </w:t>
      </w:r>
      <w:r>
        <w:rPr>
          <w:rFonts w:eastAsia="Times New Roman" w:cs="Trebuchet MS"/>
          <w:szCs w:val="22"/>
        </w:rPr>
        <w:t>30, in base al quale le disposizioni del codice stesso non si applicano alle concessioni di servizi salvo quanto disposto al medesimo art. 30, in base al quale la scelta del concessionario deve avvenire nel rispetto dei principi desumibili dal trattato e dei principi generali relativi ai contratti pubblici e, in particolare, dei principi di trasparenza, adeguata pubblicità, non discriminazione, parità di trattamento, mutuo riconoscimento, proporzionalità, e con predeterminazione dei criteri selettivi</w:t>
      </w:r>
      <w:r w:rsidRPr="00FD5678">
        <w:rPr>
          <w:rFonts w:eastAsia="Times New Roman" w:cs="Trebuchet MS"/>
          <w:szCs w:val="22"/>
        </w:rPr>
        <w:t>;</w:t>
      </w:r>
    </w:p>
    <w:p w:rsidR="00521A6F" w:rsidRPr="00FD5678" w:rsidRDefault="00521A6F" w:rsidP="001810E0">
      <w:pPr>
        <w:pStyle w:val="rtf2rtf1Standard"/>
        <w:tabs>
          <w:tab w:val="left" w:pos="0"/>
        </w:tabs>
        <w:jc w:val="both"/>
        <w:rPr>
          <w:rFonts w:eastAsia="Times New Roman" w:cs="Trebuchet MS"/>
          <w:szCs w:val="22"/>
        </w:rPr>
      </w:pPr>
    </w:p>
    <w:p w:rsidR="00521A6F" w:rsidRDefault="00521A6F" w:rsidP="001810E0">
      <w:pPr>
        <w:pStyle w:val="rtf2rtf1Rientrocorpodeltesto31"/>
        <w:widowControl/>
        <w:spacing w:after="0"/>
        <w:ind w:left="0"/>
        <w:jc w:val="both"/>
        <w:rPr>
          <w:rFonts w:eastAsia="Times New Roman" w:cs="Trebuchet MS"/>
          <w:bCs/>
          <w:color w:val="000000"/>
          <w:sz w:val="24"/>
          <w:szCs w:val="22"/>
          <w:lang w:bidi="ar-SA"/>
        </w:rPr>
      </w:pPr>
      <w:r w:rsidRPr="00A30C97">
        <w:rPr>
          <w:rFonts w:eastAsia="Times New Roman" w:cs="Trebuchet MS"/>
          <w:bCs/>
          <w:color w:val="000000"/>
          <w:sz w:val="24"/>
          <w:szCs w:val="22"/>
          <w:lang w:bidi="ar-SA"/>
        </w:rPr>
        <w:t>DATO ATTO</w:t>
      </w:r>
      <w:r>
        <w:rPr>
          <w:rFonts w:eastAsia="Times New Roman" w:cs="Trebuchet MS"/>
          <w:bCs/>
          <w:color w:val="000000"/>
          <w:sz w:val="24"/>
          <w:szCs w:val="22"/>
          <w:lang w:bidi="ar-SA"/>
        </w:rPr>
        <w:t>:</w:t>
      </w:r>
    </w:p>
    <w:p w:rsidR="00521A6F" w:rsidRPr="00421F11" w:rsidRDefault="00521A6F" w:rsidP="00521A6F">
      <w:pPr>
        <w:pStyle w:val="rtf2rtf1Standard"/>
        <w:numPr>
          <w:ilvl w:val="0"/>
          <w:numId w:val="6"/>
        </w:numPr>
        <w:tabs>
          <w:tab w:val="left" w:pos="0"/>
        </w:tabs>
        <w:ind w:left="340" w:hanging="340"/>
        <w:jc w:val="both"/>
        <w:rPr>
          <w:rFonts w:eastAsia="Times New Roman" w:cs="Trebuchet MS"/>
          <w:color w:val="000000"/>
          <w:szCs w:val="22"/>
          <w:lang w:bidi="ar-SA"/>
        </w:rPr>
      </w:pPr>
      <w:r w:rsidRPr="00A30C97">
        <w:rPr>
          <w:rFonts w:eastAsia="Times New Roman" w:cs="Trebuchet MS"/>
          <w:bCs/>
          <w:color w:val="000000"/>
          <w:szCs w:val="22"/>
          <w:lang w:bidi="ar-SA"/>
        </w:rPr>
        <w:t xml:space="preserve">che </w:t>
      </w:r>
      <w:r w:rsidRPr="00A30C97">
        <w:rPr>
          <w:rFonts w:eastAsia="Times New Roman" w:cs="Arial"/>
          <w:color w:val="000000"/>
          <w:szCs w:val="22"/>
          <w:lang w:bidi="ar-SA"/>
        </w:rPr>
        <w:t xml:space="preserve">questo Comune, con deliberazione della Giunta comunale </w:t>
      </w:r>
      <w:r>
        <w:rPr>
          <w:rFonts w:eastAsia="Times New Roman" w:cs="Arial"/>
          <w:color w:val="000000"/>
          <w:szCs w:val="22"/>
          <w:lang w:bidi="ar-SA"/>
        </w:rPr>
        <w:t xml:space="preserve">n. 179 del 24 ottobre 2014, </w:t>
      </w:r>
      <w:r w:rsidRPr="00A30C97">
        <w:rPr>
          <w:rFonts w:eastAsia="Times New Roman" w:cs="Arial"/>
          <w:color w:val="000000"/>
          <w:szCs w:val="22"/>
          <w:lang w:bidi="ar-SA"/>
        </w:rPr>
        <w:t>ha deliberato l'adesione alla Stazione Unica Appaltante della Provincia di Treviso con l'approvazione dello sche</w:t>
      </w:r>
      <w:r>
        <w:rPr>
          <w:rFonts w:eastAsia="Times New Roman" w:cs="Arial"/>
          <w:color w:val="000000"/>
          <w:szCs w:val="22"/>
          <w:lang w:bidi="ar-SA"/>
        </w:rPr>
        <w:t>m</w:t>
      </w:r>
      <w:r w:rsidRPr="00A30C97">
        <w:rPr>
          <w:rFonts w:eastAsia="Times New Roman" w:cs="Arial"/>
          <w:color w:val="000000"/>
          <w:szCs w:val="22"/>
          <w:lang w:bidi="ar-SA"/>
        </w:rPr>
        <w:t>a tipo di convenzione, in esecuzione d</w:t>
      </w:r>
      <w:r>
        <w:rPr>
          <w:rFonts w:eastAsia="Times New Roman" w:cs="Arial"/>
          <w:color w:val="000000"/>
          <w:szCs w:val="22"/>
          <w:lang w:bidi="ar-SA"/>
        </w:rPr>
        <w:t>e</w:t>
      </w:r>
      <w:r w:rsidRPr="00A30C97">
        <w:rPr>
          <w:rFonts w:eastAsia="Times New Roman" w:cs="Arial"/>
          <w:color w:val="000000"/>
          <w:szCs w:val="22"/>
          <w:lang w:bidi="ar-SA"/>
        </w:rPr>
        <w:t>ll'art. 33 del D.Lgs. 163</w:t>
      </w:r>
      <w:r>
        <w:rPr>
          <w:rFonts w:eastAsia="Times New Roman" w:cs="Arial"/>
          <w:color w:val="000000"/>
          <w:szCs w:val="22"/>
          <w:lang w:bidi="ar-SA"/>
        </w:rPr>
        <w:t>/2006</w:t>
      </w:r>
      <w:r w:rsidRPr="00A30C97">
        <w:rPr>
          <w:rFonts w:eastAsia="Times New Roman" w:cs="Arial"/>
          <w:color w:val="000000"/>
          <w:szCs w:val="22"/>
          <w:lang w:bidi="ar-SA"/>
        </w:rPr>
        <w:t>; convenzione formalmente sottoscritta tra gli Enti in data</w:t>
      </w:r>
      <w:r>
        <w:rPr>
          <w:rFonts w:eastAsia="Times New Roman" w:cs="Arial"/>
          <w:color w:val="000000"/>
          <w:szCs w:val="22"/>
          <w:lang w:bidi="ar-SA"/>
        </w:rPr>
        <w:t xml:space="preserve"> 14 maggio 2015;</w:t>
      </w:r>
    </w:p>
    <w:p w:rsidR="00521A6F" w:rsidRDefault="00521A6F" w:rsidP="00521A6F">
      <w:pPr>
        <w:pStyle w:val="rtf2rtf1Standard"/>
        <w:numPr>
          <w:ilvl w:val="0"/>
          <w:numId w:val="6"/>
        </w:numPr>
        <w:tabs>
          <w:tab w:val="left" w:pos="0"/>
        </w:tabs>
        <w:ind w:left="340" w:hanging="340"/>
        <w:jc w:val="both"/>
        <w:rPr>
          <w:rFonts w:cs="Trebuchet MS"/>
          <w:color w:val="000000"/>
          <w:szCs w:val="22"/>
        </w:rPr>
      </w:pPr>
      <w:r>
        <w:rPr>
          <w:rFonts w:eastAsia="Times New Roman" w:cs="Arial"/>
          <w:color w:val="000000"/>
          <w:szCs w:val="22"/>
          <w:lang w:bidi="ar-SA"/>
        </w:rPr>
        <w:t>che, infatti, in base all</w:t>
      </w:r>
      <w:r w:rsidRPr="00FD5678">
        <w:rPr>
          <w:rFonts w:cs="Trebuchet MS"/>
          <w:color w:val="000000"/>
          <w:szCs w:val="22"/>
        </w:rPr>
        <w:t>’art. 33, comma 3-bis, del D.Lgs. 163/2006, come modificato dall’art. 9, comma 4, del decreto-legge n. 66 del 24 aprile 2014, convertito con modificazioni dalla legge n. 89 del 23 giugno 2014, i Comuni non capoluog</w:t>
      </w:r>
      <w:r>
        <w:rPr>
          <w:rFonts w:cs="Trebuchet MS"/>
          <w:color w:val="000000"/>
          <w:szCs w:val="22"/>
        </w:rPr>
        <w:t>o</w:t>
      </w:r>
      <w:r w:rsidRPr="00FD5678">
        <w:rPr>
          <w:rFonts w:cs="Trebuchet MS"/>
          <w:color w:val="000000"/>
          <w:szCs w:val="22"/>
        </w:rPr>
        <w:t xml:space="preserve"> di provincia</w:t>
      </w:r>
      <w:r>
        <w:rPr>
          <w:rFonts w:cs="Trebuchet MS"/>
          <w:color w:val="000000"/>
          <w:szCs w:val="22"/>
        </w:rPr>
        <w:t xml:space="preserve"> </w:t>
      </w:r>
      <w:r>
        <w:rPr>
          <w:rFonts w:cs="Trebuchet MS"/>
          <w:color w:val="000000"/>
          <w:szCs w:val="22"/>
        </w:rPr>
        <w:lastRenderedPageBreak/>
        <w:t>hanno l’obbligo di</w:t>
      </w:r>
      <w:r w:rsidRPr="00FD5678">
        <w:rPr>
          <w:rFonts w:cs="Trebuchet MS"/>
          <w:color w:val="000000"/>
          <w:szCs w:val="22"/>
        </w:rPr>
        <w:t xml:space="preserve"> acquisire lavori, servizi e forniture nell’ambito delle Unioni di Comuni, ove costituite, ovvero costituendo un apposito accordo consortile tra i comuni medesimi e avvalendosi dei competenti uffici anche delle Province o ricorrendo a Consip S.p.A. o ad altro soggetto aggregatore</w:t>
      </w:r>
      <w:r>
        <w:rPr>
          <w:rFonts w:cs="Trebuchet MS"/>
          <w:color w:val="000000"/>
          <w:szCs w:val="22"/>
        </w:rPr>
        <w:t xml:space="preserve">; </w:t>
      </w:r>
    </w:p>
    <w:p w:rsidR="00521A6F" w:rsidRDefault="00521A6F" w:rsidP="00521A6F">
      <w:pPr>
        <w:pStyle w:val="rtf2rtf1Standard"/>
        <w:numPr>
          <w:ilvl w:val="0"/>
          <w:numId w:val="6"/>
        </w:numPr>
        <w:tabs>
          <w:tab w:val="left" w:pos="0"/>
        </w:tabs>
        <w:ind w:left="340" w:hanging="340"/>
        <w:jc w:val="both"/>
        <w:rPr>
          <w:rFonts w:cs="Trebuchet MS"/>
          <w:color w:val="000000"/>
          <w:szCs w:val="22"/>
        </w:rPr>
      </w:pPr>
      <w:r>
        <w:rPr>
          <w:rFonts w:cs="Trebuchet MS"/>
          <w:color w:val="000000"/>
          <w:szCs w:val="22"/>
        </w:rPr>
        <w:t xml:space="preserve">che è fatta salva la facoltà, per </w:t>
      </w:r>
      <w:r w:rsidRPr="00A30C97">
        <w:rPr>
          <w:rFonts w:cs="Trebuchet MS"/>
          <w:color w:val="000000"/>
          <w:szCs w:val="22"/>
        </w:rPr>
        <w:t>i comuni con popolazione superiore a 10.000 abitanti</w:t>
      </w:r>
      <w:r>
        <w:rPr>
          <w:rFonts w:cs="Trebuchet MS"/>
          <w:color w:val="000000"/>
          <w:szCs w:val="22"/>
        </w:rPr>
        <w:t>,</w:t>
      </w:r>
      <w:r w:rsidRPr="00A30C97">
        <w:rPr>
          <w:rFonts w:cs="Trebuchet MS"/>
          <w:color w:val="000000"/>
          <w:szCs w:val="22"/>
        </w:rPr>
        <w:t xml:space="preserve"> </w:t>
      </w:r>
      <w:r>
        <w:rPr>
          <w:rFonts w:cs="Trebuchet MS"/>
          <w:color w:val="000000"/>
          <w:szCs w:val="22"/>
        </w:rPr>
        <w:t xml:space="preserve">di </w:t>
      </w:r>
      <w:r w:rsidRPr="00A30C97">
        <w:rPr>
          <w:rFonts w:cs="Trebuchet MS"/>
          <w:color w:val="000000"/>
          <w:szCs w:val="22"/>
        </w:rPr>
        <w:t>procedere autonomamente per gli acquisti di beni, servizi e lavori di valore inferiore a 40.000 euro</w:t>
      </w:r>
      <w:r>
        <w:rPr>
          <w:rFonts w:cs="Trebuchet MS"/>
          <w:color w:val="000000"/>
          <w:szCs w:val="22"/>
        </w:rPr>
        <w:t>, ai sensi del</w:t>
      </w:r>
      <w:r w:rsidRPr="00A30C97">
        <w:rPr>
          <w:rFonts w:cs="Trebuchet MS"/>
          <w:color w:val="000000"/>
          <w:szCs w:val="22"/>
        </w:rPr>
        <w:t>l’art. 23-ter del decreto legge n. 90 del 24 giugno 2014, convertito con modificazioni dalla legge n. 114 dell’11 agosto 2014;</w:t>
      </w:r>
    </w:p>
    <w:p w:rsidR="00521A6F" w:rsidRDefault="00521A6F" w:rsidP="001810E0">
      <w:pPr>
        <w:pStyle w:val="rtf2rtf1Standard"/>
        <w:jc w:val="both"/>
        <w:rPr>
          <w:rFonts w:cs="Trebuchet MS"/>
          <w:color w:val="000000"/>
          <w:szCs w:val="22"/>
        </w:rPr>
      </w:pPr>
    </w:p>
    <w:p w:rsidR="00521A6F" w:rsidRDefault="00521A6F" w:rsidP="001810E0">
      <w:pPr>
        <w:pStyle w:val="rtf2rtf1Standard"/>
        <w:jc w:val="both"/>
        <w:rPr>
          <w:rFonts w:cs="Trebuchet MS"/>
          <w:color w:val="000000"/>
          <w:szCs w:val="22"/>
        </w:rPr>
      </w:pPr>
      <w:r>
        <w:rPr>
          <w:rFonts w:cs="Trebuchet MS"/>
          <w:color w:val="000000"/>
          <w:szCs w:val="22"/>
        </w:rPr>
        <w:t>PRECISATO:</w:t>
      </w:r>
    </w:p>
    <w:p w:rsidR="00521A6F" w:rsidRDefault="00521A6F" w:rsidP="00521A6F">
      <w:pPr>
        <w:widowControl/>
        <w:numPr>
          <w:ilvl w:val="0"/>
          <w:numId w:val="2"/>
        </w:numPr>
        <w:overflowPunct w:val="0"/>
        <w:jc w:val="both"/>
        <w:textAlignment w:val="baseline"/>
        <w:rPr>
          <w:rFonts w:cs="Trebuchet MS"/>
          <w:color w:val="000000"/>
          <w:szCs w:val="22"/>
        </w:rPr>
      </w:pPr>
      <w:r>
        <w:rPr>
          <w:rFonts w:cs="Trebuchet MS"/>
          <w:color w:val="000000"/>
          <w:szCs w:val="22"/>
        </w:rPr>
        <w:t xml:space="preserve">che, secondo quanto previsto all’art. 4 dello schema di convenzione approvato dal Consiglio, il servizio dovrà essere effettuato a titolo gratuito; sono fatte salve le commissioni e il compenso per la conservazione a norma di legge dei documenti digitali come da offerta espressa dell’aggiudicatario in sede di gara; </w:t>
      </w:r>
    </w:p>
    <w:p w:rsidR="00521A6F" w:rsidRDefault="00521A6F" w:rsidP="00521A6F">
      <w:pPr>
        <w:widowControl/>
        <w:numPr>
          <w:ilvl w:val="0"/>
          <w:numId w:val="2"/>
        </w:numPr>
        <w:overflowPunct w:val="0"/>
        <w:jc w:val="both"/>
        <w:textAlignment w:val="baseline"/>
        <w:rPr>
          <w:rFonts w:cs="Trebuchet MS"/>
          <w:color w:val="000000"/>
          <w:szCs w:val="22"/>
        </w:rPr>
      </w:pPr>
      <w:r>
        <w:rPr>
          <w:rFonts w:cs="Trebuchet MS"/>
          <w:color w:val="000000"/>
          <w:szCs w:val="22"/>
        </w:rPr>
        <w:t xml:space="preserve">che, ai soli fini dell’acquisizione del codice identificativo di gara (CIG) e del calcolo dei diritti di rogito sul valore di stipula, il valore stimato della concessione, comprensivo dell’opzione di rinnovo ai sensi dell’art. 29 del D.Lgs. 163/2006, è quantificato in </w:t>
      </w:r>
      <w:r>
        <w:rPr>
          <w:rFonts w:cs="Trebuchet MS"/>
          <w:color w:val="000000"/>
          <w:szCs w:val="22"/>
        </w:rPr>
        <w:br/>
        <w:t>€ 14.300,00;</w:t>
      </w:r>
    </w:p>
    <w:p w:rsidR="00521A6F" w:rsidRDefault="00521A6F" w:rsidP="001810E0">
      <w:pPr>
        <w:pStyle w:val="rtf2rtf1Standard"/>
        <w:jc w:val="both"/>
        <w:rPr>
          <w:rFonts w:cs="Trebuchet MS"/>
          <w:color w:val="000000"/>
          <w:szCs w:val="22"/>
        </w:rPr>
      </w:pPr>
    </w:p>
    <w:p w:rsidR="00521A6F" w:rsidRPr="00B10029" w:rsidRDefault="00521A6F" w:rsidP="001810E0">
      <w:pPr>
        <w:pStyle w:val="rtf2rtf1Standard"/>
        <w:jc w:val="both"/>
        <w:rPr>
          <w:rFonts w:eastAsia="Times New Roman" w:cs="Trebuchet MS"/>
          <w:bCs/>
          <w:color w:val="000000"/>
          <w:szCs w:val="22"/>
          <w:lang w:bidi="ar-SA"/>
        </w:rPr>
      </w:pPr>
      <w:r>
        <w:rPr>
          <w:rFonts w:cs="Trebuchet MS"/>
          <w:bCs/>
          <w:color w:val="000000"/>
          <w:szCs w:val="22"/>
        </w:rPr>
        <w:t>RITENUTO</w:t>
      </w:r>
      <w:r w:rsidRPr="00FD5678">
        <w:rPr>
          <w:rFonts w:cs="Trebuchet MS"/>
          <w:color w:val="000000"/>
          <w:szCs w:val="22"/>
        </w:rPr>
        <w:t xml:space="preserve"> </w:t>
      </w:r>
      <w:r>
        <w:rPr>
          <w:rFonts w:cs="Trebuchet MS"/>
          <w:color w:val="000000"/>
          <w:szCs w:val="22"/>
        </w:rPr>
        <w:t>di avvalersi comunque</w:t>
      </w:r>
      <w:r w:rsidRPr="00FD5678">
        <w:rPr>
          <w:rFonts w:cs="Trebuchet MS"/>
          <w:color w:val="000000"/>
          <w:szCs w:val="22"/>
        </w:rPr>
        <w:t xml:space="preserve"> della Provincia di Treviso quale Stazione Unica appaltante</w:t>
      </w:r>
      <w:r>
        <w:rPr>
          <w:rFonts w:cs="Trebuchet MS"/>
          <w:color w:val="000000"/>
          <w:szCs w:val="22"/>
        </w:rPr>
        <w:t xml:space="preserve"> </w:t>
      </w:r>
      <w:r w:rsidRPr="00FD5678">
        <w:rPr>
          <w:rFonts w:cs="Trebuchet MS"/>
          <w:color w:val="000000"/>
          <w:szCs w:val="22"/>
        </w:rPr>
        <w:t xml:space="preserve">per </w:t>
      </w:r>
      <w:r>
        <w:rPr>
          <w:rFonts w:cs="Trebuchet MS"/>
          <w:color w:val="000000"/>
          <w:szCs w:val="22"/>
        </w:rPr>
        <w:t>la procedura di cui trattasi</w:t>
      </w:r>
      <w:r w:rsidRPr="00FD5678">
        <w:rPr>
          <w:rFonts w:cs="Trebuchet MS"/>
          <w:color w:val="000000"/>
          <w:szCs w:val="22"/>
        </w:rPr>
        <w:t xml:space="preserve">, </w:t>
      </w:r>
      <w:r>
        <w:rPr>
          <w:rFonts w:cs="Trebuchet MS"/>
          <w:color w:val="000000"/>
          <w:szCs w:val="22"/>
        </w:rPr>
        <w:t xml:space="preserve">anche se l’importo del servizio è inferiore al limite previsto dall’art. 23-ter del decreto legge 90/2014, sopra richiamato; </w:t>
      </w:r>
    </w:p>
    <w:p w:rsidR="00521A6F" w:rsidRDefault="00521A6F" w:rsidP="001810E0">
      <w:pPr>
        <w:pStyle w:val="rtf2rtf1Rientrocorpodeltesto31"/>
        <w:spacing w:after="0"/>
        <w:ind w:left="0"/>
        <w:jc w:val="both"/>
        <w:rPr>
          <w:rFonts w:cs="Trebuchet MS"/>
          <w:color w:val="000000"/>
          <w:sz w:val="24"/>
          <w:szCs w:val="22"/>
        </w:rPr>
      </w:pPr>
    </w:p>
    <w:p w:rsidR="00521A6F" w:rsidRDefault="00521A6F" w:rsidP="001810E0">
      <w:pPr>
        <w:pStyle w:val="rtf2rtf1Standard"/>
        <w:jc w:val="both"/>
        <w:rPr>
          <w:rFonts w:eastAsia="Times New Roman" w:cs="Trebuchet MS"/>
          <w:bCs/>
          <w:color w:val="000000"/>
          <w:szCs w:val="22"/>
          <w:lang w:bidi="ar-SA"/>
        </w:rPr>
      </w:pPr>
      <w:r>
        <w:rPr>
          <w:rFonts w:cs="Trebuchet MS"/>
          <w:bCs/>
          <w:color w:val="000000"/>
          <w:szCs w:val="22"/>
        </w:rPr>
        <w:t xml:space="preserve">DATO ATTO </w:t>
      </w:r>
      <w:r w:rsidRPr="00FD5678">
        <w:t>che</w:t>
      </w:r>
      <w:r>
        <w:t xml:space="preserve"> sarà quindi </w:t>
      </w:r>
      <w:r w:rsidRPr="00FD5678">
        <w:t xml:space="preserve">la Stazione Unica Appaltante </w:t>
      </w:r>
      <w:r>
        <w:t xml:space="preserve">della Provincia di Treviso a indire la </w:t>
      </w:r>
      <w:r w:rsidRPr="00FD5678">
        <w:t xml:space="preserve">procedura </w:t>
      </w:r>
      <w:r>
        <w:t xml:space="preserve">di gara, </w:t>
      </w:r>
      <w:r w:rsidRPr="00FD5678">
        <w:t xml:space="preserve">e che </w:t>
      </w:r>
      <w:r>
        <w:t>pertanto</w:t>
      </w:r>
      <w:r w:rsidRPr="00FD5678">
        <w:t xml:space="preserve"> compete alla </w:t>
      </w:r>
      <w:r>
        <w:t xml:space="preserve">medesima </w:t>
      </w:r>
      <w:r w:rsidRPr="00FD5678">
        <w:t xml:space="preserve">Stazione Unica Appaltante </w:t>
      </w:r>
      <w:r>
        <w:t>il pagamento del contributo dovuto al</w:t>
      </w:r>
      <w:r w:rsidRPr="00FD5678">
        <w:t>l'Autorità Nazionale Anticorruzione (ANAC)</w:t>
      </w:r>
      <w:r>
        <w:t xml:space="preserve">, se dovuto </w:t>
      </w:r>
      <w:r w:rsidRPr="00F33B9A">
        <w:t>- fatto salvo il rimborso della quota a carico di questo Comune -</w:t>
      </w:r>
      <w:r>
        <w:t xml:space="preserve"> mentre </w:t>
      </w:r>
      <w:r w:rsidRPr="00B10029">
        <w:rPr>
          <w:rFonts w:eastAsia="Times New Roman" w:cs="Trebuchet MS"/>
          <w:bCs/>
          <w:color w:val="000000"/>
          <w:szCs w:val="22"/>
          <w:lang w:bidi="ar-SA"/>
        </w:rPr>
        <w:t>rimangono comunque in capo al Comune le attività amministrative e di gestione a rilevanza esterna, e in particolare l’aggiudicazione definitiva</w:t>
      </w:r>
      <w:r>
        <w:rPr>
          <w:rFonts w:eastAsia="Times New Roman" w:cs="Trebuchet MS"/>
          <w:bCs/>
          <w:color w:val="000000"/>
          <w:szCs w:val="22"/>
          <w:lang w:bidi="ar-SA"/>
        </w:rPr>
        <w:t xml:space="preserve"> e le comunicazioni previste all’art. 79 del D.Lgs. 163/2006, nonché </w:t>
      </w:r>
      <w:r w:rsidRPr="00FD5678">
        <w:rPr>
          <w:rFonts w:cs="Arial"/>
          <w:color w:val="000000"/>
          <w:szCs w:val="22"/>
        </w:rPr>
        <w:t>le eventuali successive comunicazioni di cui all'art. 7, comma 8, del D.Lgs. 163/2006</w:t>
      </w:r>
      <w:r w:rsidRPr="00B10029">
        <w:rPr>
          <w:rFonts w:eastAsia="Times New Roman" w:cs="Trebuchet MS"/>
          <w:bCs/>
          <w:color w:val="000000"/>
          <w:szCs w:val="22"/>
          <w:lang w:bidi="ar-SA"/>
        </w:rPr>
        <w:t>;</w:t>
      </w:r>
    </w:p>
    <w:p w:rsidR="00521A6F" w:rsidRPr="002B13EF" w:rsidRDefault="00521A6F" w:rsidP="001810E0">
      <w:pPr>
        <w:pStyle w:val="rtf2rtf1Standard"/>
        <w:jc w:val="both"/>
        <w:rPr>
          <w:rFonts w:cs="Trebuchet MS"/>
          <w:bCs/>
          <w:color w:val="000000"/>
          <w:szCs w:val="22"/>
        </w:rPr>
      </w:pPr>
    </w:p>
    <w:p w:rsidR="00521A6F" w:rsidRDefault="00521A6F" w:rsidP="001810E0">
      <w:pPr>
        <w:pStyle w:val="rtf2rtf1Standard"/>
        <w:jc w:val="both"/>
        <w:rPr>
          <w:rFonts w:eastAsia="Times New Roman" w:cs="Trebuchet MS"/>
          <w:bCs/>
          <w:color w:val="000000"/>
          <w:szCs w:val="22"/>
          <w:lang w:bidi="ar-SA"/>
        </w:rPr>
      </w:pPr>
      <w:r>
        <w:t xml:space="preserve">VISTA al riguardo la deliberazione </w:t>
      </w:r>
      <w:r>
        <w:rPr>
          <w:rFonts w:eastAsia="Times New Roman" w:cs="Trebuchet MS"/>
          <w:bCs/>
          <w:color w:val="000000"/>
          <w:szCs w:val="22"/>
          <w:lang w:bidi="ar-SA"/>
        </w:rPr>
        <w:t>del Consiglio del</w:t>
      </w:r>
      <w:r w:rsidRPr="00F33B9A">
        <w:rPr>
          <w:rFonts w:eastAsia="Times New Roman" w:cs="Trebuchet MS"/>
          <w:bCs/>
          <w:color w:val="000000"/>
          <w:szCs w:val="22"/>
          <w:lang w:bidi="ar-SA"/>
        </w:rPr>
        <w:t>l’</w:t>
      </w:r>
      <w:r>
        <w:rPr>
          <w:rFonts w:eastAsia="Times New Roman" w:cs="Trebuchet MS"/>
          <w:bCs/>
          <w:color w:val="000000"/>
          <w:szCs w:val="22"/>
          <w:lang w:bidi="ar-SA"/>
        </w:rPr>
        <w:t xml:space="preserve">Autorità nazionale anticorruzione - </w:t>
      </w:r>
      <w:r w:rsidRPr="00F33B9A">
        <w:rPr>
          <w:rFonts w:eastAsia="Times New Roman" w:cs="Trebuchet MS"/>
          <w:bCs/>
          <w:color w:val="000000"/>
          <w:szCs w:val="22"/>
          <w:lang w:bidi="ar-SA"/>
        </w:rPr>
        <w:t>ANAC</w:t>
      </w:r>
      <w:r>
        <w:rPr>
          <w:rFonts w:eastAsia="Times New Roman" w:cs="Trebuchet MS"/>
          <w:bCs/>
          <w:color w:val="000000"/>
          <w:szCs w:val="22"/>
          <w:lang w:bidi="ar-SA"/>
        </w:rPr>
        <w:t xml:space="preserve"> n. 163 del 22 dicembre 2015</w:t>
      </w:r>
      <w:r w:rsidRPr="00F33B9A">
        <w:rPr>
          <w:rFonts w:eastAsia="Times New Roman" w:cs="Trebuchet MS"/>
          <w:bCs/>
          <w:color w:val="000000"/>
          <w:szCs w:val="22"/>
          <w:lang w:bidi="ar-SA"/>
        </w:rPr>
        <w:t>, in attuazione dell’art. 1, commi 65 e 67, della Legge 23 dicembre 2005, n. 266</w:t>
      </w:r>
      <w:r>
        <w:rPr>
          <w:rFonts w:eastAsia="Times New Roman" w:cs="Trebuchet MS"/>
          <w:bCs/>
          <w:color w:val="000000"/>
          <w:szCs w:val="22"/>
          <w:lang w:bidi="ar-SA"/>
        </w:rPr>
        <w:t>, che definisce l’importo della contribuzione dovuta alla medesima autorità per l’anno 2016, nonché le risposte alle FAQ (frequently asked questions) sui contributi in sede di gara pubblicate nel sito internet della medesima autorità;</w:t>
      </w:r>
    </w:p>
    <w:p w:rsidR="00521A6F" w:rsidRDefault="00521A6F" w:rsidP="001810E0">
      <w:pPr>
        <w:pStyle w:val="rtf2rtf1Standard"/>
        <w:jc w:val="both"/>
        <w:rPr>
          <w:rFonts w:eastAsia="Times New Roman" w:cs="Trebuchet MS"/>
          <w:bCs/>
          <w:color w:val="000000"/>
          <w:szCs w:val="22"/>
          <w:lang w:bidi="ar-SA"/>
        </w:rPr>
      </w:pPr>
    </w:p>
    <w:p w:rsidR="00521A6F" w:rsidRDefault="00521A6F" w:rsidP="001810E0">
      <w:pPr>
        <w:pStyle w:val="rtf2rtf1Standard"/>
        <w:jc w:val="both"/>
        <w:rPr>
          <w:rFonts w:eastAsia="Times New Roman" w:cs="Trebuchet MS"/>
          <w:bCs/>
          <w:color w:val="000000"/>
          <w:szCs w:val="22"/>
          <w:lang w:bidi="ar-SA"/>
        </w:rPr>
      </w:pPr>
      <w:r>
        <w:rPr>
          <w:rFonts w:eastAsia="Times New Roman" w:cs="Trebuchet MS"/>
          <w:bCs/>
          <w:color w:val="000000"/>
          <w:szCs w:val="22"/>
          <w:lang w:bidi="ar-SA"/>
        </w:rPr>
        <w:t xml:space="preserve">PRESO ATTO che per le gare di importo inferiore ai 50.000,00 non è richiesta la comunicazione all’Osservatorio di cui </w:t>
      </w:r>
      <w:r w:rsidRPr="00FD5678">
        <w:rPr>
          <w:rFonts w:cs="Arial"/>
          <w:color w:val="000000"/>
          <w:szCs w:val="22"/>
        </w:rPr>
        <w:t>all'art. 7, comma 8, del D.Lgs. 163/2006</w:t>
      </w:r>
      <w:r>
        <w:rPr>
          <w:rFonts w:cs="Arial"/>
          <w:color w:val="000000"/>
          <w:szCs w:val="22"/>
        </w:rPr>
        <w:t xml:space="preserve"> e sotto </w:t>
      </w:r>
      <w:r>
        <w:rPr>
          <w:rFonts w:eastAsia="Times New Roman" w:cs="Trebuchet MS"/>
          <w:bCs/>
          <w:color w:val="000000"/>
          <w:szCs w:val="22"/>
          <w:lang w:bidi="ar-SA"/>
        </w:rPr>
        <w:t>i 40.000,00 euro di valore non è dovuta la contribuzione all’ANAC;</w:t>
      </w:r>
    </w:p>
    <w:p w:rsidR="00521A6F" w:rsidRDefault="00521A6F" w:rsidP="001810E0">
      <w:pPr>
        <w:widowControl/>
        <w:autoSpaceDE/>
        <w:autoSpaceDN/>
        <w:adjustRightInd/>
        <w:jc w:val="both"/>
      </w:pPr>
    </w:p>
    <w:p w:rsidR="00521A6F" w:rsidRPr="00FD5678" w:rsidRDefault="00521A6F" w:rsidP="001810E0">
      <w:pPr>
        <w:pStyle w:val="rtf2rtf1Standard"/>
        <w:autoSpaceDE w:val="0"/>
        <w:jc w:val="both"/>
        <w:rPr>
          <w:rFonts w:eastAsia="Times New Roman" w:cs="CourierNewPSMT"/>
          <w:szCs w:val="22"/>
        </w:rPr>
      </w:pPr>
      <w:r>
        <w:rPr>
          <w:rFonts w:eastAsia="Times New Roman" w:cs="Trebuchet MS"/>
          <w:bCs/>
          <w:color w:val="000000"/>
          <w:szCs w:val="22"/>
        </w:rPr>
        <w:t>PRECISATO</w:t>
      </w:r>
      <w:r w:rsidRPr="00A30C97">
        <w:rPr>
          <w:rFonts w:eastAsia="Times New Roman" w:cs="Trebuchet MS"/>
          <w:color w:val="000000"/>
          <w:szCs w:val="22"/>
        </w:rPr>
        <w:t xml:space="preserve"> </w:t>
      </w:r>
      <w:r w:rsidRPr="00FD5678">
        <w:rPr>
          <w:rFonts w:eastAsia="Times New Roman" w:cs="Arial"/>
          <w:color w:val="000000"/>
          <w:szCs w:val="22"/>
          <w:lang w:bidi="ar-SA"/>
        </w:rPr>
        <w:t xml:space="preserve">che </w:t>
      </w:r>
      <w:r>
        <w:rPr>
          <w:rFonts w:eastAsia="Times New Roman" w:cs="Arial"/>
          <w:color w:val="000000"/>
          <w:szCs w:val="22"/>
          <w:lang w:bidi="ar-SA"/>
        </w:rPr>
        <w:t>i</w:t>
      </w:r>
      <w:r w:rsidRPr="00FD5678">
        <w:rPr>
          <w:rFonts w:eastAsia="Times New Roman" w:cs="Arial"/>
          <w:color w:val="000000"/>
          <w:szCs w:val="22"/>
          <w:lang w:bidi="ar-SA"/>
        </w:rPr>
        <w:t xml:space="preserve">l </w:t>
      </w:r>
      <w:r>
        <w:rPr>
          <w:rFonts w:eastAsia="Times New Roman" w:cs="Arial"/>
          <w:color w:val="000000"/>
          <w:szCs w:val="22"/>
          <w:lang w:bidi="ar-SA"/>
        </w:rPr>
        <w:t>s</w:t>
      </w:r>
      <w:r w:rsidRPr="00FD5678">
        <w:rPr>
          <w:rFonts w:eastAsia="Times New Roman" w:cs="Arial"/>
          <w:color w:val="000000"/>
          <w:szCs w:val="22"/>
          <w:lang w:bidi="ar-SA"/>
        </w:rPr>
        <w:t xml:space="preserve">ervizio </w:t>
      </w:r>
      <w:r>
        <w:rPr>
          <w:rFonts w:eastAsia="Times New Roman" w:cs="Arial"/>
          <w:color w:val="000000"/>
          <w:szCs w:val="22"/>
          <w:lang w:bidi="ar-SA"/>
        </w:rPr>
        <w:t xml:space="preserve">oggetto della procedura di affidamento </w:t>
      </w:r>
      <w:r w:rsidRPr="00FD5678">
        <w:rPr>
          <w:rFonts w:eastAsia="Times New Roman" w:cs="Arial"/>
          <w:color w:val="000000"/>
          <w:szCs w:val="22"/>
          <w:lang w:bidi="ar-SA"/>
        </w:rPr>
        <w:t xml:space="preserve">rientra nell’allegato “II A” del Codice dei Contratti pubblici relativi a lavori, servizi e forniture, nella categoria 6 Servizi Finanziari CPV </w:t>
      </w:r>
      <w:r w:rsidRPr="00D8431E">
        <w:rPr>
          <w:rFonts w:eastAsia="Times New Roman" w:cs="Arial"/>
          <w:color w:val="000000"/>
          <w:szCs w:val="22"/>
          <w:lang w:bidi="ar-SA"/>
        </w:rPr>
        <w:t>66600000-6</w:t>
      </w:r>
      <w:r w:rsidRPr="00FD5678">
        <w:rPr>
          <w:rFonts w:eastAsia="Times New Roman" w:cs="Arial"/>
          <w:color w:val="000000"/>
          <w:szCs w:val="22"/>
          <w:lang w:bidi="ar-SA"/>
        </w:rPr>
        <w:t>;</w:t>
      </w:r>
    </w:p>
    <w:p w:rsidR="00521A6F" w:rsidRPr="00FD5678" w:rsidRDefault="00521A6F" w:rsidP="001810E0">
      <w:pPr>
        <w:pStyle w:val="rtf2rtf1Standard"/>
        <w:autoSpaceDE w:val="0"/>
        <w:jc w:val="both"/>
        <w:rPr>
          <w:rFonts w:eastAsia="Times New Roman" w:cs="Trebuchet MS"/>
          <w:b/>
          <w:bCs/>
          <w:color w:val="000000"/>
          <w:szCs w:val="22"/>
        </w:rPr>
      </w:pPr>
    </w:p>
    <w:p w:rsidR="00521A6F" w:rsidRPr="00312A9D" w:rsidRDefault="00521A6F" w:rsidP="001810E0">
      <w:pPr>
        <w:pStyle w:val="rtf2rtf1Corpodeltesto31"/>
        <w:tabs>
          <w:tab w:val="left" w:pos="0"/>
        </w:tabs>
        <w:spacing w:after="0"/>
        <w:jc w:val="both"/>
        <w:rPr>
          <w:sz w:val="24"/>
        </w:rPr>
      </w:pPr>
      <w:r>
        <w:rPr>
          <w:rFonts w:eastAsia="Times New Roman" w:cs="Arial"/>
          <w:bCs/>
          <w:sz w:val="24"/>
          <w:szCs w:val="22"/>
        </w:rPr>
        <w:t>DATO ATTO</w:t>
      </w:r>
      <w:r w:rsidRPr="00312A9D">
        <w:rPr>
          <w:rFonts w:eastAsia="Times New Roman" w:cs="Arial"/>
          <w:sz w:val="24"/>
          <w:szCs w:val="22"/>
        </w:rPr>
        <w:t xml:space="preserve"> </w:t>
      </w:r>
      <w:r>
        <w:rPr>
          <w:rFonts w:eastAsia="Times New Roman" w:cs="Arial"/>
          <w:sz w:val="24"/>
          <w:szCs w:val="22"/>
        </w:rPr>
        <w:t>che</w:t>
      </w:r>
      <w:r w:rsidRPr="00312A9D">
        <w:rPr>
          <w:rFonts w:eastAsia="Times New Roman" w:cs="Arial"/>
          <w:sz w:val="24"/>
          <w:szCs w:val="22"/>
        </w:rPr>
        <w:t xml:space="preserve"> l’Avviso di Gara</w:t>
      </w:r>
      <w:r>
        <w:rPr>
          <w:rFonts w:eastAsia="Times New Roman" w:cs="Arial"/>
          <w:sz w:val="24"/>
          <w:szCs w:val="22"/>
        </w:rPr>
        <w:t xml:space="preserve"> e gli altri documenti di gara, nonché il successivo avviso relativo all’aggiudicazione del servizio,</w:t>
      </w:r>
      <w:r w:rsidRPr="00312A9D">
        <w:rPr>
          <w:rFonts w:eastAsia="Times New Roman" w:cs="Arial"/>
          <w:sz w:val="24"/>
          <w:szCs w:val="22"/>
        </w:rPr>
        <w:t xml:space="preserve"> </w:t>
      </w:r>
      <w:r>
        <w:rPr>
          <w:rFonts w:eastAsia="Times New Roman" w:cs="Arial"/>
          <w:sz w:val="24"/>
          <w:szCs w:val="22"/>
        </w:rPr>
        <w:t>saranno pubblicati</w:t>
      </w:r>
      <w:r w:rsidRPr="00312A9D">
        <w:rPr>
          <w:rFonts w:eastAsia="Times New Roman" w:cs="Arial"/>
          <w:sz w:val="24"/>
          <w:szCs w:val="22"/>
        </w:rPr>
        <w:t xml:space="preserve"> con le seguenti modalità:</w:t>
      </w:r>
    </w:p>
    <w:p w:rsidR="00521A6F" w:rsidRPr="00312A9D" w:rsidRDefault="00521A6F" w:rsidP="00521A6F">
      <w:pPr>
        <w:pStyle w:val="rtf2rtf1Corpodeltesto31"/>
        <w:numPr>
          <w:ilvl w:val="0"/>
          <w:numId w:val="7"/>
        </w:numPr>
        <w:tabs>
          <w:tab w:val="left" w:pos="0"/>
        </w:tabs>
        <w:spacing w:after="0"/>
        <w:ind w:left="340" w:hanging="340"/>
        <w:jc w:val="both"/>
        <w:rPr>
          <w:rFonts w:eastAsia="Times New Roman" w:cs="Arial"/>
          <w:sz w:val="24"/>
          <w:szCs w:val="22"/>
        </w:rPr>
      </w:pPr>
      <w:r w:rsidRPr="00312A9D">
        <w:rPr>
          <w:rFonts w:eastAsia="Times New Roman" w:cs="Arial"/>
          <w:sz w:val="24"/>
          <w:szCs w:val="22"/>
        </w:rPr>
        <w:t>sul sito internet della Provincia di Treviso – Stazione unica appaltante;</w:t>
      </w:r>
    </w:p>
    <w:p w:rsidR="00521A6F" w:rsidRPr="00312A9D" w:rsidRDefault="00521A6F" w:rsidP="00521A6F">
      <w:pPr>
        <w:pStyle w:val="rtf2rtf1Corpodeltesto31"/>
        <w:numPr>
          <w:ilvl w:val="0"/>
          <w:numId w:val="7"/>
        </w:numPr>
        <w:tabs>
          <w:tab w:val="left" w:pos="0"/>
        </w:tabs>
        <w:spacing w:after="0"/>
        <w:ind w:left="340" w:hanging="340"/>
        <w:jc w:val="both"/>
        <w:rPr>
          <w:rFonts w:eastAsia="Times New Roman" w:cs="Arial"/>
          <w:sz w:val="24"/>
          <w:szCs w:val="22"/>
        </w:rPr>
      </w:pPr>
      <w:r w:rsidRPr="00312A9D">
        <w:rPr>
          <w:rFonts w:eastAsia="Times New Roman" w:cs="Arial"/>
          <w:sz w:val="24"/>
          <w:szCs w:val="22"/>
        </w:rPr>
        <w:t xml:space="preserve">all’Albo </w:t>
      </w:r>
      <w:r w:rsidRPr="00C23707">
        <w:rPr>
          <w:rFonts w:eastAsia="Times New Roman" w:cs="Arial"/>
          <w:i/>
          <w:sz w:val="24"/>
          <w:szCs w:val="22"/>
        </w:rPr>
        <w:t>on line</w:t>
      </w:r>
      <w:r w:rsidRPr="00312A9D">
        <w:rPr>
          <w:rFonts w:eastAsia="Times New Roman" w:cs="Arial"/>
          <w:sz w:val="24"/>
          <w:szCs w:val="22"/>
        </w:rPr>
        <w:t xml:space="preserve"> della Provincia di Treviso – Stazione Unica Appaltante;</w:t>
      </w:r>
    </w:p>
    <w:p w:rsidR="00521A6F" w:rsidRPr="00312A9D" w:rsidRDefault="00521A6F" w:rsidP="00521A6F">
      <w:pPr>
        <w:pStyle w:val="rtf2rtf1Corpodeltesto31"/>
        <w:numPr>
          <w:ilvl w:val="0"/>
          <w:numId w:val="7"/>
        </w:numPr>
        <w:tabs>
          <w:tab w:val="left" w:pos="0"/>
        </w:tabs>
        <w:spacing w:after="0"/>
        <w:ind w:left="340" w:hanging="340"/>
        <w:jc w:val="both"/>
        <w:rPr>
          <w:rFonts w:eastAsia="Times New Roman" w:cs="Arial"/>
          <w:sz w:val="24"/>
          <w:szCs w:val="22"/>
        </w:rPr>
      </w:pPr>
      <w:r w:rsidRPr="00312A9D">
        <w:rPr>
          <w:rFonts w:eastAsia="Times New Roman" w:cs="Arial"/>
          <w:sz w:val="24"/>
          <w:szCs w:val="22"/>
        </w:rPr>
        <w:t>sul sito informatico del Ministero delle Infrastrutture;</w:t>
      </w:r>
    </w:p>
    <w:p w:rsidR="00521A6F" w:rsidRPr="00312A9D" w:rsidRDefault="00521A6F" w:rsidP="00521A6F">
      <w:pPr>
        <w:pStyle w:val="rtf2rtf1Corpodeltesto31"/>
        <w:numPr>
          <w:ilvl w:val="0"/>
          <w:numId w:val="7"/>
        </w:numPr>
        <w:tabs>
          <w:tab w:val="left" w:pos="0"/>
        </w:tabs>
        <w:spacing w:after="0"/>
        <w:ind w:left="340" w:hanging="340"/>
        <w:jc w:val="both"/>
        <w:rPr>
          <w:rFonts w:eastAsia="Times New Roman" w:cs="Arial"/>
          <w:sz w:val="24"/>
          <w:szCs w:val="22"/>
        </w:rPr>
      </w:pPr>
      <w:r w:rsidRPr="00312A9D">
        <w:rPr>
          <w:rFonts w:eastAsia="Times New Roman" w:cs="Arial"/>
          <w:sz w:val="24"/>
          <w:szCs w:val="22"/>
        </w:rPr>
        <w:t>sul sito informatico presso l’Autorità per la vigilanza sui contratti Pubblici di lavori, servizi e forniture;</w:t>
      </w:r>
    </w:p>
    <w:p w:rsidR="00521A6F" w:rsidRPr="00312A9D" w:rsidRDefault="00521A6F" w:rsidP="00521A6F">
      <w:pPr>
        <w:pStyle w:val="rtf2rtf1Corpodeltesto31"/>
        <w:numPr>
          <w:ilvl w:val="0"/>
          <w:numId w:val="7"/>
        </w:numPr>
        <w:tabs>
          <w:tab w:val="left" w:pos="0"/>
        </w:tabs>
        <w:spacing w:after="0"/>
        <w:ind w:left="340" w:hanging="340"/>
        <w:jc w:val="both"/>
        <w:rPr>
          <w:rFonts w:eastAsia="Times New Roman" w:cs="Arial"/>
          <w:sz w:val="24"/>
          <w:szCs w:val="22"/>
        </w:rPr>
      </w:pPr>
      <w:r w:rsidRPr="00312A9D">
        <w:rPr>
          <w:rFonts w:eastAsia="Times New Roman" w:cs="Arial"/>
          <w:sz w:val="24"/>
          <w:szCs w:val="22"/>
        </w:rPr>
        <w:t xml:space="preserve">all’Albo </w:t>
      </w:r>
      <w:r w:rsidRPr="00C23707">
        <w:rPr>
          <w:rFonts w:eastAsia="Times New Roman" w:cs="Arial"/>
          <w:i/>
          <w:sz w:val="24"/>
          <w:szCs w:val="22"/>
        </w:rPr>
        <w:t>on line</w:t>
      </w:r>
      <w:r w:rsidRPr="00312A9D">
        <w:rPr>
          <w:rFonts w:eastAsia="Times New Roman" w:cs="Arial"/>
          <w:sz w:val="24"/>
          <w:szCs w:val="22"/>
        </w:rPr>
        <w:t xml:space="preserve"> di questo Comune;</w:t>
      </w:r>
    </w:p>
    <w:p w:rsidR="00521A6F" w:rsidRPr="00312A9D" w:rsidRDefault="00521A6F" w:rsidP="00521A6F">
      <w:pPr>
        <w:pStyle w:val="rtf2rtf1Corpodeltesto31"/>
        <w:numPr>
          <w:ilvl w:val="0"/>
          <w:numId w:val="7"/>
        </w:numPr>
        <w:tabs>
          <w:tab w:val="left" w:pos="0"/>
        </w:tabs>
        <w:spacing w:after="0"/>
        <w:ind w:left="340" w:hanging="340"/>
        <w:jc w:val="both"/>
        <w:rPr>
          <w:rFonts w:eastAsia="Times New Roman" w:cs="Arial"/>
          <w:sz w:val="24"/>
          <w:szCs w:val="22"/>
        </w:rPr>
      </w:pPr>
      <w:r w:rsidRPr="00312A9D">
        <w:rPr>
          <w:rFonts w:eastAsia="Times New Roman" w:cs="Arial"/>
          <w:sz w:val="24"/>
          <w:szCs w:val="22"/>
        </w:rPr>
        <w:lastRenderedPageBreak/>
        <w:t>sul sito Internet di questo Comune;</w:t>
      </w:r>
    </w:p>
    <w:p w:rsidR="00521A6F" w:rsidRPr="00312A9D" w:rsidRDefault="00521A6F" w:rsidP="001810E0">
      <w:pPr>
        <w:pStyle w:val="rtf2rtf1Corpodeltesto31"/>
        <w:tabs>
          <w:tab w:val="left" w:pos="0"/>
        </w:tabs>
        <w:spacing w:after="0"/>
        <w:jc w:val="both"/>
        <w:rPr>
          <w:rFonts w:eastAsia="Times New Roman" w:cs="Arial"/>
          <w:sz w:val="24"/>
          <w:szCs w:val="22"/>
        </w:rPr>
      </w:pPr>
    </w:p>
    <w:p w:rsidR="00521A6F" w:rsidRPr="00312A9D" w:rsidRDefault="00521A6F" w:rsidP="001810E0">
      <w:pPr>
        <w:pStyle w:val="rtf2rtf1Corpodeltesto31"/>
        <w:tabs>
          <w:tab w:val="left" w:pos="0"/>
        </w:tabs>
        <w:spacing w:after="0"/>
        <w:jc w:val="both"/>
        <w:rPr>
          <w:rFonts w:cs="Arial"/>
          <w:color w:val="000000"/>
          <w:sz w:val="24"/>
          <w:szCs w:val="22"/>
        </w:rPr>
      </w:pPr>
      <w:r>
        <w:rPr>
          <w:rFonts w:cs="Arial"/>
          <w:bCs/>
          <w:color w:val="000000"/>
          <w:sz w:val="24"/>
          <w:szCs w:val="22"/>
        </w:rPr>
        <w:t xml:space="preserve">PRECISATO che </w:t>
      </w:r>
      <w:r w:rsidRPr="00312A9D">
        <w:rPr>
          <w:rFonts w:cs="Arial"/>
          <w:color w:val="000000"/>
          <w:sz w:val="24"/>
          <w:szCs w:val="22"/>
        </w:rPr>
        <w:t xml:space="preserve">l'aggiudicazione del servizio </w:t>
      </w:r>
      <w:r>
        <w:rPr>
          <w:rFonts w:cs="Arial"/>
          <w:color w:val="000000"/>
          <w:sz w:val="24"/>
          <w:szCs w:val="22"/>
        </w:rPr>
        <w:t xml:space="preserve">avverrà </w:t>
      </w:r>
      <w:r w:rsidRPr="00312A9D">
        <w:rPr>
          <w:rFonts w:cs="Arial"/>
          <w:color w:val="000000"/>
          <w:sz w:val="24"/>
          <w:szCs w:val="22"/>
        </w:rPr>
        <w:t>con il criterio dell'offerta economicame</w:t>
      </w:r>
      <w:r>
        <w:rPr>
          <w:rFonts w:cs="Arial"/>
          <w:color w:val="000000"/>
          <w:sz w:val="24"/>
          <w:szCs w:val="22"/>
        </w:rPr>
        <w:t xml:space="preserve">nte più vantaggiosa sulla base dei </w:t>
      </w:r>
      <w:r w:rsidRPr="00312A9D">
        <w:rPr>
          <w:rFonts w:cs="Arial"/>
          <w:color w:val="000000"/>
          <w:sz w:val="24"/>
          <w:szCs w:val="22"/>
        </w:rPr>
        <w:t xml:space="preserve">criteri </w:t>
      </w:r>
      <w:r>
        <w:rPr>
          <w:rFonts w:cs="Arial"/>
          <w:color w:val="000000"/>
          <w:sz w:val="24"/>
          <w:szCs w:val="22"/>
        </w:rPr>
        <w:t xml:space="preserve">stabiliti </w:t>
      </w:r>
      <w:r w:rsidRPr="00312A9D">
        <w:rPr>
          <w:rFonts w:cs="Arial"/>
          <w:color w:val="000000"/>
          <w:sz w:val="24"/>
          <w:szCs w:val="22"/>
        </w:rPr>
        <w:t>nel disciplinare di gara</w:t>
      </w:r>
      <w:r>
        <w:rPr>
          <w:rFonts w:cs="Arial"/>
          <w:color w:val="000000"/>
          <w:sz w:val="24"/>
          <w:szCs w:val="22"/>
        </w:rPr>
        <w:t xml:space="preserve">, e </w:t>
      </w:r>
      <w:r>
        <w:rPr>
          <w:rFonts w:cs="Arial"/>
          <w:bCs/>
          <w:color w:val="000000"/>
          <w:sz w:val="24"/>
          <w:szCs w:val="22"/>
        </w:rPr>
        <w:t xml:space="preserve">che si </w:t>
      </w:r>
      <w:r w:rsidRPr="00312A9D">
        <w:rPr>
          <w:rFonts w:eastAsia="Times New Roman" w:cs="Arial"/>
          <w:color w:val="000000"/>
          <w:sz w:val="24"/>
          <w:szCs w:val="22"/>
        </w:rPr>
        <w:t>proceder</w:t>
      </w:r>
      <w:r>
        <w:rPr>
          <w:rFonts w:eastAsia="Times New Roman" w:cs="Arial"/>
          <w:color w:val="000000"/>
          <w:sz w:val="24"/>
          <w:szCs w:val="22"/>
        </w:rPr>
        <w:t>à</w:t>
      </w:r>
      <w:r w:rsidRPr="00312A9D">
        <w:rPr>
          <w:rFonts w:eastAsia="Times New Roman" w:cs="Arial"/>
          <w:color w:val="000000"/>
          <w:sz w:val="24"/>
          <w:szCs w:val="22"/>
        </w:rPr>
        <w:t xml:space="preserve"> all'aggiu</w:t>
      </w:r>
      <w:r>
        <w:rPr>
          <w:rFonts w:eastAsia="Times New Roman" w:cs="Arial"/>
          <w:color w:val="000000"/>
          <w:sz w:val="24"/>
          <w:szCs w:val="22"/>
        </w:rPr>
        <w:t xml:space="preserve">dicazione </w:t>
      </w:r>
      <w:r w:rsidRPr="00312A9D">
        <w:rPr>
          <w:rFonts w:eastAsia="Times New Roman" w:cs="Arial"/>
          <w:color w:val="000000"/>
          <w:sz w:val="24"/>
          <w:szCs w:val="22"/>
        </w:rPr>
        <w:t>anche in presenza di una sola offerta, purché valida e ritenuta congrua a insindacabile giudizio dell'</w:t>
      </w:r>
      <w:r>
        <w:rPr>
          <w:rFonts w:eastAsia="Times New Roman" w:cs="Arial"/>
          <w:color w:val="000000"/>
          <w:sz w:val="24"/>
          <w:szCs w:val="22"/>
        </w:rPr>
        <w:t>a</w:t>
      </w:r>
      <w:r w:rsidRPr="00312A9D">
        <w:rPr>
          <w:rFonts w:eastAsia="Times New Roman" w:cs="Arial"/>
          <w:color w:val="000000"/>
          <w:sz w:val="24"/>
          <w:szCs w:val="22"/>
        </w:rPr>
        <w:t xml:space="preserve">mministrazione, riservandosi </w:t>
      </w:r>
      <w:r>
        <w:rPr>
          <w:rFonts w:eastAsia="Times New Roman" w:cs="Arial"/>
          <w:color w:val="000000"/>
          <w:sz w:val="24"/>
          <w:szCs w:val="22"/>
        </w:rPr>
        <w:t xml:space="preserve">comunque </w:t>
      </w:r>
      <w:r w:rsidRPr="00312A9D">
        <w:rPr>
          <w:rFonts w:eastAsia="Times New Roman" w:cs="Arial"/>
          <w:color w:val="000000"/>
          <w:sz w:val="24"/>
          <w:szCs w:val="22"/>
        </w:rPr>
        <w:t>la facoltà, a proprio insindacabile giudizio, di non</w:t>
      </w:r>
      <w:r>
        <w:rPr>
          <w:rFonts w:eastAsia="Times New Roman" w:cs="Arial"/>
          <w:color w:val="000000"/>
          <w:sz w:val="24"/>
          <w:szCs w:val="22"/>
        </w:rPr>
        <w:t xml:space="preserve"> procedere all'aggiudicazione</w:t>
      </w:r>
      <w:r w:rsidRPr="00312A9D">
        <w:rPr>
          <w:rFonts w:eastAsia="Times New Roman" w:cs="Arial"/>
          <w:color w:val="000000"/>
          <w:sz w:val="24"/>
          <w:szCs w:val="22"/>
        </w:rPr>
        <w:t xml:space="preserve"> qualunque sia il numero delle offerte pervenute, per rilevanti motivi di interesse pubblico </w:t>
      </w:r>
      <w:r>
        <w:rPr>
          <w:rFonts w:eastAsia="Times New Roman" w:cs="Arial"/>
          <w:color w:val="000000"/>
          <w:sz w:val="24"/>
          <w:szCs w:val="22"/>
        </w:rPr>
        <w:t>(</w:t>
      </w:r>
      <w:r w:rsidRPr="00312A9D">
        <w:rPr>
          <w:rFonts w:eastAsia="Times New Roman" w:cs="Arial"/>
          <w:color w:val="000000"/>
          <w:sz w:val="24"/>
          <w:szCs w:val="22"/>
        </w:rPr>
        <w:t>per irregolarità formali,</w:t>
      </w:r>
      <w:r>
        <w:rPr>
          <w:rFonts w:eastAsia="Times New Roman" w:cs="Arial"/>
          <w:color w:val="000000"/>
          <w:sz w:val="24"/>
          <w:szCs w:val="22"/>
        </w:rPr>
        <w:t xml:space="preserve"> </w:t>
      </w:r>
      <w:r w:rsidRPr="00312A9D">
        <w:rPr>
          <w:rFonts w:eastAsia="Times New Roman" w:cs="Arial"/>
          <w:color w:val="000000"/>
          <w:sz w:val="24"/>
          <w:szCs w:val="22"/>
        </w:rPr>
        <w:t>opportunità, convenienza, esigenze di bilancio ecc.)</w:t>
      </w:r>
      <w:r>
        <w:rPr>
          <w:rFonts w:eastAsia="Times New Roman" w:cs="Arial"/>
          <w:color w:val="000000"/>
          <w:sz w:val="24"/>
          <w:szCs w:val="22"/>
        </w:rPr>
        <w:t>,</w:t>
      </w:r>
      <w:r w:rsidRPr="00312A9D">
        <w:rPr>
          <w:rFonts w:eastAsia="Times New Roman" w:cs="Arial"/>
          <w:color w:val="000000"/>
          <w:sz w:val="24"/>
          <w:szCs w:val="22"/>
        </w:rPr>
        <w:t xml:space="preserve"> senza che ciò comporti pretesa alcuna da parte dei concorrenti;</w:t>
      </w:r>
    </w:p>
    <w:p w:rsidR="00521A6F" w:rsidRPr="00312A9D" w:rsidRDefault="00521A6F" w:rsidP="001810E0">
      <w:pPr>
        <w:pStyle w:val="rtf2rtf1Corpodeltesto31"/>
        <w:tabs>
          <w:tab w:val="left" w:pos="0"/>
        </w:tabs>
        <w:spacing w:after="0"/>
        <w:jc w:val="both"/>
        <w:rPr>
          <w:rFonts w:cs="Arial"/>
          <w:color w:val="000000"/>
          <w:sz w:val="24"/>
          <w:szCs w:val="22"/>
        </w:rPr>
      </w:pPr>
    </w:p>
    <w:p w:rsidR="00521A6F" w:rsidRPr="00312A9D" w:rsidRDefault="00521A6F" w:rsidP="001810E0">
      <w:pPr>
        <w:pStyle w:val="rtf2rtf1Corpodeltesto31"/>
        <w:tabs>
          <w:tab w:val="left" w:pos="0"/>
        </w:tabs>
        <w:spacing w:after="0"/>
        <w:jc w:val="both"/>
        <w:rPr>
          <w:rFonts w:eastAsia="Times New Roman" w:cs="Arial"/>
          <w:sz w:val="24"/>
          <w:szCs w:val="22"/>
        </w:rPr>
      </w:pPr>
      <w:r>
        <w:rPr>
          <w:rFonts w:eastAsia="Times New Roman" w:cs="Arial"/>
          <w:sz w:val="24"/>
          <w:szCs w:val="22"/>
        </w:rPr>
        <w:t>EVIDENZIATO</w:t>
      </w:r>
      <w:r w:rsidRPr="00312A9D">
        <w:rPr>
          <w:rFonts w:eastAsia="Times New Roman" w:cs="Arial"/>
          <w:sz w:val="24"/>
          <w:szCs w:val="22"/>
        </w:rPr>
        <w:t xml:space="preserve"> che l’amministrazione si riterrà vincolata all’offerta ricevuta dall’aggiudicataria solo a</w:t>
      </w:r>
      <w:r>
        <w:rPr>
          <w:rFonts w:eastAsia="Times New Roman" w:cs="Arial"/>
          <w:sz w:val="24"/>
          <w:szCs w:val="22"/>
        </w:rPr>
        <w:t xml:space="preserve"> intervenuta </w:t>
      </w:r>
      <w:r w:rsidRPr="00312A9D">
        <w:rPr>
          <w:rFonts w:eastAsia="Times New Roman" w:cs="Arial"/>
          <w:sz w:val="24"/>
          <w:szCs w:val="22"/>
        </w:rPr>
        <w:t xml:space="preserve">esecutività del provvedimento </w:t>
      </w:r>
      <w:r>
        <w:rPr>
          <w:rFonts w:eastAsia="Times New Roman" w:cs="Arial"/>
          <w:sz w:val="24"/>
          <w:szCs w:val="22"/>
        </w:rPr>
        <w:t>di</w:t>
      </w:r>
      <w:r w:rsidRPr="00312A9D">
        <w:rPr>
          <w:rFonts w:eastAsia="Times New Roman" w:cs="Arial"/>
          <w:sz w:val="24"/>
          <w:szCs w:val="22"/>
        </w:rPr>
        <w:t xml:space="preserve"> approva</w:t>
      </w:r>
      <w:r>
        <w:rPr>
          <w:rFonts w:eastAsia="Times New Roman" w:cs="Arial"/>
          <w:sz w:val="24"/>
          <w:szCs w:val="22"/>
        </w:rPr>
        <w:t>zione</w:t>
      </w:r>
      <w:r w:rsidRPr="00312A9D">
        <w:rPr>
          <w:rFonts w:eastAsia="Times New Roman" w:cs="Arial"/>
          <w:sz w:val="24"/>
          <w:szCs w:val="22"/>
        </w:rPr>
        <w:t xml:space="preserve"> </w:t>
      </w:r>
      <w:r>
        <w:rPr>
          <w:rFonts w:eastAsia="Times New Roman" w:cs="Arial"/>
          <w:sz w:val="24"/>
          <w:szCs w:val="22"/>
        </w:rPr>
        <w:t>de</w:t>
      </w:r>
      <w:r w:rsidRPr="00312A9D">
        <w:rPr>
          <w:rFonts w:eastAsia="Times New Roman" w:cs="Arial"/>
          <w:sz w:val="24"/>
          <w:szCs w:val="22"/>
        </w:rPr>
        <w:t>l risultato della gara, fatti salvi i controlli di cui all’art. 11, co</w:t>
      </w:r>
      <w:r>
        <w:rPr>
          <w:rFonts w:eastAsia="Times New Roman" w:cs="Arial"/>
          <w:sz w:val="24"/>
          <w:szCs w:val="22"/>
        </w:rPr>
        <w:t>mma</w:t>
      </w:r>
      <w:r w:rsidRPr="00312A9D">
        <w:rPr>
          <w:rFonts w:eastAsia="Times New Roman" w:cs="Arial"/>
          <w:sz w:val="24"/>
          <w:szCs w:val="22"/>
        </w:rPr>
        <w:t xml:space="preserve"> 8</w:t>
      </w:r>
      <w:r>
        <w:rPr>
          <w:rFonts w:eastAsia="Times New Roman" w:cs="Arial"/>
          <w:sz w:val="24"/>
          <w:szCs w:val="22"/>
        </w:rPr>
        <w:t>,</w:t>
      </w:r>
      <w:r w:rsidRPr="00312A9D">
        <w:rPr>
          <w:rFonts w:eastAsia="Times New Roman" w:cs="Arial"/>
          <w:sz w:val="24"/>
          <w:szCs w:val="22"/>
        </w:rPr>
        <w:t xml:space="preserve"> del </w:t>
      </w:r>
      <w:r>
        <w:rPr>
          <w:rFonts w:eastAsia="Times New Roman" w:cs="Arial"/>
          <w:sz w:val="24"/>
          <w:szCs w:val="22"/>
        </w:rPr>
        <w:t>D</w:t>
      </w:r>
      <w:r w:rsidRPr="00312A9D">
        <w:rPr>
          <w:rFonts w:eastAsia="Times New Roman" w:cs="Arial"/>
          <w:sz w:val="24"/>
          <w:szCs w:val="22"/>
        </w:rPr>
        <w:t>.Lgs. 163/2006;</w:t>
      </w:r>
    </w:p>
    <w:p w:rsidR="00521A6F" w:rsidRDefault="00521A6F" w:rsidP="001810E0">
      <w:pPr>
        <w:pStyle w:val="rtf2rtf1Rientrocorpodeltesto31"/>
        <w:widowControl/>
        <w:spacing w:after="0"/>
        <w:ind w:left="0"/>
        <w:jc w:val="both"/>
        <w:rPr>
          <w:rFonts w:eastAsia="Times New Roman" w:cs="Trebuchet MS"/>
          <w:bCs/>
          <w:color w:val="000000"/>
          <w:sz w:val="24"/>
          <w:szCs w:val="22"/>
          <w:lang w:bidi="ar-SA"/>
        </w:rPr>
      </w:pPr>
    </w:p>
    <w:p w:rsidR="00521A6F" w:rsidRPr="00FD5678" w:rsidRDefault="00521A6F" w:rsidP="001810E0">
      <w:pPr>
        <w:pStyle w:val="rtf2rtf1Standard"/>
        <w:tabs>
          <w:tab w:val="left" w:pos="0"/>
        </w:tabs>
        <w:jc w:val="both"/>
      </w:pPr>
      <w:r w:rsidRPr="00FD5678">
        <w:rPr>
          <w:rFonts w:eastAsia="Times New Roman" w:cs="Arial"/>
          <w:bCs/>
          <w:szCs w:val="22"/>
        </w:rPr>
        <w:t>VISTO</w:t>
      </w:r>
      <w:r w:rsidRPr="00FD5678">
        <w:rPr>
          <w:bCs/>
        </w:rPr>
        <w:t xml:space="preserve"> </w:t>
      </w:r>
      <w:r w:rsidRPr="00FD5678">
        <w:rPr>
          <w:rFonts w:eastAsia="Times New Roman" w:cs="Arial"/>
          <w:szCs w:val="22"/>
        </w:rPr>
        <w:t xml:space="preserve">l’art. 192, comma 1, del Testo unico delle leggi sull’ordinamento degli enti locali </w:t>
      </w:r>
      <w:r>
        <w:rPr>
          <w:rFonts w:eastAsia="Times New Roman" w:cs="Arial"/>
          <w:szCs w:val="22"/>
        </w:rPr>
        <w:t xml:space="preserve">(Tuel) </w:t>
      </w:r>
      <w:r w:rsidRPr="00FD5678">
        <w:rPr>
          <w:rFonts w:eastAsia="Times New Roman" w:cs="Arial"/>
          <w:szCs w:val="22"/>
        </w:rPr>
        <w:t>approvato con D.Lgs. 18 agosto 2000, n. 267, in base al quale la stipulazione dei contratti deve essere preceduta da apposta determinazione del responsabile del procedimento di spesa indicante:</w:t>
      </w:r>
    </w:p>
    <w:p w:rsidR="00521A6F" w:rsidRPr="00FD5678" w:rsidRDefault="00521A6F" w:rsidP="00521A6F">
      <w:pPr>
        <w:pStyle w:val="rtf2rtf1Standard"/>
        <w:numPr>
          <w:ilvl w:val="0"/>
          <w:numId w:val="4"/>
        </w:numPr>
        <w:tabs>
          <w:tab w:val="left" w:pos="284"/>
        </w:tabs>
        <w:jc w:val="both"/>
        <w:rPr>
          <w:rFonts w:eastAsia="Times New Roman" w:cs="Arial"/>
          <w:szCs w:val="22"/>
        </w:rPr>
      </w:pPr>
      <w:r w:rsidRPr="00FD5678">
        <w:rPr>
          <w:rFonts w:eastAsia="Times New Roman" w:cs="Arial"/>
          <w:szCs w:val="22"/>
        </w:rPr>
        <w:t>il fine che con il contratto si intende perseguire,</w:t>
      </w:r>
    </w:p>
    <w:p w:rsidR="00521A6F" w:rsidRPr="00FD5678" w:rsidRDefault="00521A6F" w:rsidP="00521A6F">
      <w:pPr>
        <w:pStyle w:val="rtf2rtf1Standard"/>
        <w:numPr>
          <w:ilvl w:val="0"/>
          <w:numId w:val="3"/>
        </w:numPr>
        <w:tabs>
          <w:tab w:val="left" w:pos="284"/>
        </w:tabs>
        <w:jc w:val="both"/>
        <w:rPr>
          <w:rFonts w:eastAsia="Times New Roman" w:cs="Arial"/>
          <w:szCs w:val="22"/>
        </w:rPr>
      </w:pPr>
      <w:r w:rsidRPr="00FD5678">
        <w:rPr>
          <w:rFonts w:eastAsia="Times New Roman" w:cs="Arial"/>
          <w:szCs w:val="22"/>
        </w:rPr>
        <w:t>l’oggetto del contratto, la sua forma e le clausole ritenute essenziali,</w:t>
      </w:r>
    </w:p>
    <w:p w:rsidR="00521A6F" w:rsidRPr="00FD5678" w:rsidRDefault="00521A6F" w:rsidP="00521A6F">
      <w:pPr>
        <w:pStyle w:val="rtf2rtf1Standard"/>
        <w:numPr>
          <w:ilvl w:val="0"/>
          <w:numId w:val="3"/>
        </w:numPr>
        <w:tabs>
          <w:tab w:val="left" w:pos="284"/>
        </w:tabs>
        <w:jc w:val="both"/>
        <w:rPr>
          <w:rFonts w:eastAsia="Times New Roman" w:cs="Arial"/>
          <w:szCs w:val="22"/>
        </w:rPr>
      </w:pPr>
      <w:r w:rsidRPr="00FD5678">
        <w:rPr>
          <w:rFonts w:eastAsia="Times New Roman" w:cs="Arial"/>
          <w:szCs w:val="22"/>
        </w:rPr>
        <w:t>le modalità di scelta del contraente ammesse dalle disposizioni vigenti in materia di contratti delle pubbliche amministrazioni e le ragioni che ne sono alla base;</w:t>
      </w:r>
    </w:p>
    <w:p w:rsidR="00521A6F" w:rsidRDefault="00521A6F" w:rsidP="001810E0">
      <w:pPr>
        <w:pStyle w:val="rtf2rtf1Corpodeltesto31"/>
        <w:tabs>
          <w:tab w:val="left" w:pos="0"/>
        </w:tabs>
        <w:spacing w:after="0"/>
        <w:jc w:val="both"/>
        <w:rPr>
          <w:rFonts w:eastAsia="Times New Roman" w:cs="Arial"/>
          <w:sz w:val="24"/>
          <w:szCs w:val="22"/>
        </w:rPr>
      </w:pPr>
      <w:r>
        <w:rPr>
          <w:rFonts w:eastAsia="Times New Roman" w:cs="Arial"/>
          <w:sz w:val="24"/>
          <w:szCs w:val="22"/>
        </w:rPr>
        <w:t>e precisato quanto segue:</w:t>
      </w:r>
    </w:p>
    <w:p w:rsidR="00521A6F" w:rsidRPr="00521155" w:rsidRDefault="00521A6F" w:rsidP="00521A6F">
      <w:pPr>
        <w:pStyle w:val="rtf2rtf1Standard"/>
        <w:numPr>
          <w:ilvl w:val="0"/>
          <w:numId w:val="6"/>
        </w:numPr>
        <w:tabs>
          <w:tab w:val="left" w:pos="0"/>
        </w:tabs>
        <w:ind w:left="340" w:hanging="340"/>
        <w:jc w:val="both"/>
        <w:rPr>
          <w:rFonts w:cs="Times New Roman"/>
          <w:szCs w:val="16"/>
        </w:rPr>
      </w:pPr>
      <w:r>
        <w:rPr>
          <w:rFonts w:cs="Times New Roman"/>
          <w:szCs w:val="16"/>
        </w:rPr>
        <w:t>che il fine che si intende perseguire con il contratto è la concessione de</w:t>
      </w:r>
      <w:r w:rsidRPr="00FD5678">
        <w:rPr>
          <w:rFonts w:eastAsia="Times New Roman" w:cs="Arial"/>
          <w:color w:val="000000"/>
          <w:szCs w:val="22"/>
        </w:rPr>
        <w:t xml:space="preserve">l </w:t>
      </w:r>
      <w:r>
        <w:rPr>
          <w:rFonts w:eastAsia="Times New Roman" w:cs="Arial"/>
          <w:color w:val="000000"/>
          <w:szCs w:val="22"/>
        </w:rPr>
        <w:t xml:space="preserve">servizio di tesoreria comunale di cui al Titolo V </w:t>
      </w:r>
      <w:r>
        <w:t>d</w:t>
      </w:r>
      <w:r w:rsidRPr="0074314C">
        <w:t>el</w:t>
      </w:r>
      <w:r>
        <w:t xml:space="preserve"> Tuel</w:t>
      </w:r>
      <w:r>
        <w:rPr>
          <w:rFonts w:eastAsia="Times New Roman" w:cs="Arial"/>
          <w:color w:val="000000"/>
          <w:szCs w:val="22"/>
        </w:rPr>
        <w:t>;</w:t>
      </w:r>
      <w:r w:rsidRPr="00FD5678">
        <w:rPr>
          <w:rFonts w:eastAsia="Times New Roman" w:cs="Arial"/>
          <w:color w:val="000000"/>
          <w:szCs w:val="22"/>
        </w:rPr>
        <w:t xml:space="preserve"> </w:t>
      </w:r>
    </w:p>
    <w:p w:rsidR="00521A6F" w:rsidRPr="00947983" w:rsidRDefault="00521A6F" w:rsidP="00521A6F">
      <w:pPr>
        <w:pStyle w:val="rtf2rtf1Standard"/>
        <w:numPr>
          <w:ilvl w:val="0"/>
          <w:numId w:val="6"/>
        </w:numPr>
        <w:tabs>
          <w:tab w:val="left" w:pos="0"/>
        </w:tabs>
        <w:ind w:left="340" w:hanging="340"/>
        <w:jc w:val="both"/>
        <w:rPr>
          <w:rFonts w:cs="Times New Roman"/>
          <w:szCs w:val="16"/>
        </w:rPr>
      </w:pPr>
      <w:r w:rsidRPr="00FD5678">
        <w:rPr>
          <w:rFonts w:eastAsia="Times New Roman" w:cs="Arial"/>
          <w:szCs w:val="22"/>
        </w:rPr>
        <w:t xml:space="preserve">che il contratto verrà stipulato in </w:t>
      </w:r>
      <w:r>
        <w:rPr>
          <w:rFonts w:eastAsia="Times New Roman" w:cs="Arial"/>
          <w:szCs w:val="22"/>
        </w:rPr>
        <w:t xml:space="preserve">modalità elettronica in </w:t>
      </w:r>
      <w:r w:rsidRPr="00FD5678">
        <w:rPr>
          <w:rFonts w:eastAsia="Times New Roman" w:cs="Arial"/>
          <w:szCs w:val="22"/>
        </w:rPr>
        <w:t xml:space="preserve">forma di </w:t>
      </w:r>
      <w:r>
        <w:rPr>
          <w:rFonts w:eastAsia="Times New Roman" w:cs="Arial"/>
          <w:szCs w:val="22"/>
        </w:rPr>
        <w:t>atto pubblico amministrativo con rogito del segretario comunale;</w:t>
      </w:r>
      <w:r w:rsidRPr="00FD5678">
        <w:rPr>
          <w:rFonts w:eastAsia="Times New Roman" w:cs="Arial"/>
          <w:szCs w:val="22"/>
        </w:rPr>
        <w:t xml:space="preserve"> </w:t>
      </w:r>
    </w:p>
    <w:p w:rsidR="00521A6F" w:rsidRPr="00521155" w:rsidRDefault="00521A6F" w:rsidP="00521A6F">
      <w:pPr>
        <w:pStyle w:val="rtf2rtf1Standard"/>
        <w:numPr>
          <w:ilvl w:val="0"/>
          <w:numId w:val="6"/>
        </w:numPr>
        <w:tabs>
          <w:tab w:val="left" w:pos="0"/>
        </w:tabs>
        <w:ind w:left="340" w:hanging="340"/>
        <w:jc w:val="both"/>
        <w:rPr>
          <w:rFonts w:cs="Times New Roman"/>
          <w:szCs w:val="16"/>
        </w:rPr>
      </w:pPr>
      <w:r w:rsidRPr="00FD5678">
        <w:rPr>
          <w:rFonts w:eastAsia="Times New Roman" w:cs="Arial"/>
          <w:szCs w:val="22"/>
        </w:rPr>
        <w:t xml:space="preserve">che le clausole ritenute essenziali sono contenute nel capitolato speciale d’appalto allegato sub </w:t>
      </w:r>
      <w:r w:rsidR="007E289D">
        <w:rPr>
          <w:rFonts w:eastAsia="Times New Roman" w:cs="Arial"/>
          <w:szCs w:val="22"/>
        </w:rPr>
        <w:t>3</w:t>
      </w:r>
      <w:r w:rsidRPr="00FD5678">
        <w:rPr>
          <w:rFonts w:eastAsia="Times New Roman" w:cs="Arial"/>
          <w:szCs w:val="22"/>
        </w:rPr>
        <w:t>) alla presente determinazione</w:t>
      </w:r>
      <w:r>
        <w:rPr>
          <w:rFonts w:eastAsia="Times New Roman" w:cs="Arial"/>
          <w:szCs w:val="22"/>
        </w:rPr>
        <w:t xml:space="preserve"> e nello schema di convenzione approvato con deliberazione del Consiglio comunale n. 20/2016, più sopra richiamata</w:t>
      </w:r>
      <w:r w:rsidRPr="00FD5678">
        <w:rPr>
          <w:rFonts w:eastAsia="Times New Roman" w:cs="Arial"/>
          <w:szCs w:val="22"/>
        </w:rPr>
        <w:t>;</w:t>
      </w:r>
    </w:p>
    <w:p w:rsidR="00521A6F" w:rsidRPr="00A267DB" w:rsidRDefault="00521A6F" w:rsidP="00521A6F">
      <w:pPr>
        <w:pStyle w:val="rtf2rtf1Standard"/>
        <w:numPr>
          <w:ilvl w:val="0"/>
          <w:numId w:val="6"/>
        </w:numPr>
        <w:tabs>
          <w:tab w:val="left" w:pos="0"/>
        </w:tabs>
        <w:ind w:left="340" w:hanging="340"/>
        <w:jc w:val="both"/>
        <w:rPr>
          <w:rFonts w:cs="Times New Roman"/>
          <w:szCs w:val="16"/>
        </w:rPr>
      </w:pPr>
      <w:r w:rsidRPr="00A267DB">
        <w:rPr>
          <w:rFonts w:eastAsia="Times New Roman" w:cs="Arial"/>
          <w:szCs w:val="22"/>
        </w:rPr>
        <w:t xml:space="preserve">che la modalità di scelta del contraente è l’affidamento mediante procedura </w:t>
      </w:r>
      <w:r>
        <w:rPr>
          <w:rFonts w:eastAsia="Times New Roman" w:cs="Arial"/>
          <w:szCs w:val="22"/>
        </w:rPr>
        <w:t>negoziata con pubblicazione del bando di gara con le modalità più sopra indicate</w:t>
      </w:r>
      <w:r w:rsidRPr="00A267DB">
        <w:rPr>
          <w:rFonts w:eastAsia="Times New Roman" w:cs="Arial"/>
          <w:szCs w:val="22"/>
        </w:rPr>
        <w:t>;</w:t>
      </w:r>
    </w:p>
    <w:p w:rsidR="00521A6F" w:rsidRDefault="00521A6F" w:rsidP="001810E0">
      <w:pPr>
        <w:pStyle w:val="rtf2rtf1Standard"/>
        <w:jc w:val="both"/>
        <w:rPr>
          <w:rFonts w:cs="Trebuchet MS"/>
          <w:color w:val="000000"/>
          <w:szCs w:val="22"/>
        </w:rPr>
      </w:pPr>
    </w:p>
    <w:p w:rsidR="00521A6F" w:rsidRPr="00312A9D" w:rsidRDefault="00521A6F" w:rsidP="001810E0">
      <w:pPr>
        <w:pStyle w:val="rtf2rtf1Corpodeltesto31"/>
        <w:tabs>
          <w:tab w:val="left" w:pos="0"/>
        </w:tabs>
        <w:spacing w:after="0"/>
        <w:jc w:val="both"/>
        <w:rPr>
          <w:sz w:val="24"/>
        </w:rPr>
      </w:pPr>
      <w:r w:rsidRPr="00312A9D">
        <w:rPr>
          <w:rFonts w:cs="Arial"/>
          <w:bCs/>
          <w:color w:val="000000"/>
          <w:sz w:val="24"/>
          <w:szCs w:val="22"/>
        </w:rPr>
        <w:t>DATO ATTO</w:t>
      </w:r>
      <w:r>
        <w:rPr>
          <w:rFonts w:cs="Arial"/>
          <w:bCs/>
          <w:color w:val="000000"/>
          <w:sz w:val="24"/>
          <w:szCs w:val="22"/>
        </w:rPr>
        <w:t xml:space="preserve"> </w:t>
      </w:r>
      <w:r w:rsidRPr="00312A9D">
        <w:rPr>
          <w:rFonts w:cs="Arial"/>
          <w:color w:val="000000"/>
          <w:sz w:val="24"/>
          <w:szCs w:val="22"/>
        </w:rPr>
        <w:t xml:space="preserve">che le modalità di svolgimento della gara e le successive condizioni di </w:t>
      </w:r>
      <w:r w:rsidRPr="00312A9D">
        <w:rPr>
          <w:rFonts w:eastAsia="Times New Roman" w:cs="Arial"/>
          <w:sz w:val="24"/>
          <w:szCs w:val="22"/>
        </w:rPr>
        <w:t xml:space="preserve">prestazione del servizio sono definite </w:t>
      </w:r>
      <w:r w:rsidR="007E289D" w:rsidRPr="00312A9D">
        <w:rPr>
          <w:rFonts w:eastAsia="Times New Roman" w:cs="Arial"/>
          <w:sz w:val="24"/>
          <w:szCs w:val="22"/>
        </w:rPr>
        <w:t>nel</w:t>
      </w:r>
      <w:r w:rsidR="007E289D">
        <w:rPr>
          <w:rFonts w:eastAsia="Times New Roman" w:cs="Arial"/>
          <w:sz w:val="24"/>
          <w:szCs w:val="22"/>
        </w:rPr>
        <w:t>l’Avviso di Gara (Allegato 1),</w:t>
      </w:r>
      <w:r w:rsidR="007E289D" w:rsidRPr="007E289D">
        <w:rPr>
          <w:rFonts w:eastAsia="Times New Roman" w:cs="Arial"/>
          <w:sz w:val="24"/>
          <w:szCs w:val="22"/>
        </w:rPr>
        <w:t xml:space="preserve"> </w:t>
      </w:r>
      <w:r w:rsidR="007E289D">
        <w:rPr>
          <w:rFonts w:eastAsia="Times New Roman" w:cs="Arial"/>
          <w:sz w:val="24"/>
          <w:szCs w:val="22"/>
        </w:rPr>
        <w:t>nel</w:t>
      </w:r>
      <w:r w:rsidR="007E289D" w:rsidRPr="00312A9D">
        <w:rPr>
          <w:rFonts w:eastAsia="Times New Roman" w:cs="Arial"/>
          <w:sz w:val="24"/>
          <w:szCs w:val="22"/>
        </w:rPr>
        <w:t xml:space="preserve"> Disciplinare di Gara </w:t>
      </w:r>
      <w:r w:rsidR="007E289D">
        <w:rPr>
          <w:rFonts w:eastAsia="Times New Roman" w:cs="Arial"/>
          <w:sz w:val="24"/>
          <w:szCs w:val="22"/>
        </w:rPr>
        <w:t xml:space="preserve">(Allegato 2) </w:t>
      </w:r>
      <w:r w:rsidRPr="00312A9D">
        <w:rPr>
          <w:rFonts w:eastAsia="Times New Roman" w:cs="Arial"/>
          <w:sz w:val="24"/>
          <w:szCs w:val="22"/>
        </w:rPr>
        <w:t>nel Capitolato speciale d’</w:t>
      </w:r>
      <w:r>
        <w:rPr>
          <w:rFonts w:eastAsia="Times New Roman" w:cs="Arial"/>
          <w:sz w:val="24"/>
          <w:szCs w:val="22"/>
        </w:rPr>
        <w:t>a</w:t>
      </w:r>
      <w:r w:rsidRPr="00312A9D">
        <w:rPr>
          <w:rFonts w:eastAsia="Times New Roman" w:cs="Arial"/>
          <w:sz w:val="24"/>
          <w:szCs w:val="22"/>
        </w:rPr>
        <w:t>ppalto</w:t>
      </w:r>
      <w:r>
        <w:rPr>
          <w:rFonts w:eastAsia="Times New Roman" w:cs="Arial"/>
          <w:sz w:val="24"/>
          <w:szCs w:val="22"/>
        </w:rPr>
        <w:t xml:space="preserve"> (Allegato </w:t>
      </w:r>
      <w:r w:rsidR="007E289D">
        <w:rPr>
          <w:rFonts w:eastAsia="Times New Roman" w:cs="Arial"/>
          <w:sz w:val="24"/>
          <w:szCs w:val="22"/>
        </w:rPr>
        <w:t>3</w:t>
      </w:r>
      <w:r>
        <w:rPr>
          <w:rFonts w:eastAsia="Times New Roman" w:cs="Arial"/>
          <w:sz w:val="24"/>
          <w:szCs w:val="22"/>
        </w:rPr>
        <w:t>)</w:t>
      </w:r>
      <w:r w:rsidR="007E289D">
        <w:rPr>
          <w:rFonts w:eastAsia="Times New Roman" w:cs="Arial"/>
          <w:sz w:val="24"/>
          <w:szCs w:val="22"/>
        </w:rPr>
        <w:t xml:space="preserve"> e</w:t>
      </w:r>
      <w:r w:rsidRPr="00312A9D">
        <w:rPr>
          <w:rFonts w:eastAsia="Times New Roman" w:cs="Arial"/>
          <w:sz w:val="24"/>
          <w:szCs w:val="22"/>
        </w:rPr>
        <w:t xml:space="preserve"> </w:t>
      </w:r>
      <w:r w:rsidR="007E289D">
        <w:rPr>
          <w:rFonts w:eastAsia="Times New Roman" w:cs="Arial"/>
          <w:sz w:val="24"/>
          <w:szCs w:val="22"/>
        </w:rPr>
        <w:t>nello schema di convenzione (Allegato 4)</w:t>
      </w:r>
      <w:r w:rsidRPr="00312A9D">
        <w:rPr>
          <w:rFonts w:cs="Arial"/>
          <w:color w:val="000000"/>
          <w:sz w:val="24"/>
          <w:szCs w:val="22"/>
        </w:rPr>
        <w:t>;</w:t>
      </w:r>
    </w:p>
    <w:p w:rsidR="00521A6F" w:rsidRPr="00312A9D" w:rsidRDefault="00521A6F" w:rsidP="001810E0">
      <w:pPr>
        <w:pStyle w:val="rtf2rtf1Corpodeltesto31"/>
        <w:tabs>
          <w:tab w:val="left" w:pos="0"/>
        </w:tabs>
        <w:spacing w:after="0"/>
        <w:jc w:val="both"/>
        <w:rPr>
          <w:rFonts w:cs="Arial"/>
          <w:color w:val="000000"/>
          <w:sz w:val="24"/>
          <w:szCs w:val="22"/>
        </w:rPr>
      </w:pPr>
    </w:p>
    <w:p w:rsidR="00521A6F" w:rsidRDefault="00521A6F" w:rsidP="001810E0">
      <w:pPr>
        <w:widowControl/>
        <w:autoSpaceDE/>
        <w:autoSpaceDN/>
        <w:adjustRightInd/>
        <w:jc w:val="both"/>
      </w:pPr>
      <w:r>
        <w:t xml:space="preserve">VISTI altresì: </w:t>
      </w:r>
    </w:p>
    <w:p w:rsidR="00521A6F" w:rsidRPr="00FC4B46" w:rsidRDefault="00521A6F" w:rsidP="001810E0">
      <w:pPr>
        <w:widowControl/>
        <w:autoSpaceDE/>
        <w:autoSpaceDN/>
        <w:adjustRightInd/>
        <w:spacing w:before="10"/>
        <w:ind w:left="284" w:hanging="284"/>
        <w:jc w:val="both"/>
      </w:pPr>
      <w:r>
        <w:t>-</w:t>
      </w:r>
      <w:r>
        <w:tab/>
        <w:t xml:space="preserve">gli articoli da 183 a 185, nonché l’articolo 191 del decreto legislativo 18 agosto 2000, n. 267 “Testo unico delle leggi sull’ordinamento degli enti locali”, disciplinanti il procedimento di spesa e le regole procedurali per l’assunzione degli impegni e per l’effettuazione delle spese; </w:t>
      </w:r>
    </w:p>
    <w:p w:rsidR="00521A6F" w:rsidRDefault="00521A6F" w:rsidP="001810E0">
      <w:pPr>
        <w:widowControl/>
        <w:autoSpaceDE/>
        <w:autoSpaceDN/>
        <w:adjustRightInd/>
        <w:spacing w:before="10"/>
        <w:ind w:left="284" w:hanging="284"/>
        <w:jc w:val="both"/>
      </w:pPr>
      <w:r>
        <w:t>-</w:t>
      </w:r>
      <w:r>
        <w:tab/>
        <w:t>gli articoli 107 e 109 del medesimo decreto legislativo n. 267/2000, recanti la disciplina delle funzioni e compiti spettanti, negli enti privi di dirigenza, ai Responsabili dei servizi;</w:t>
      </w:r>
    </w:p>
    <w:p w:rsidR="00521A6F" w:rsidRDefault="00521A6F" w:rsidP="001810E0">
      <w:pPr>
        <w:widowControl/>
        <w:autoSpaceDE/>
        <w:autoSpaceDN/>
        <w:adjustRightInd/>
        <w:spacing w:before="10"/>
        <w:ind w:left="284" w:hanging="284"/>
        <w:jc w:val="both"/>
      </w:pPr>
      <w:r>
        <w:t>-</w:t>
      </w:r>
      <w:r>
        <w:tab/>
        <w:t>il vigente regolamento di organizzazione degli uffici e dei servizi del Comune, ed in particolare gli articoli 25, sulle competenze dei Responsabili delle unità organizzative, e 26, disciplinante la forma e le procedure relative all’adozione delle determinazioni;</w:t>
      </w:r>
    </w:p>
    <w:p w:rsidR="00521A6F" w:rsidRPr="0075448A" w:rsidRDefault="00521A6F" w:rsidP="001810E0">
      <w:pPr>
        <w:widowControl/>
        <w:autoSpaceDE/>
        <w:autoSpaceDN/>
        <w:adjustRightInd/>
        <w:spacing w:before="10"/>
        <w:ind w:left="284" w:hanging="284"/>
        <w:jc w:val="both"/>
      </w:pPr>
      <w:r w:rsidRPr="0075448A">
        <w:t>-</w:t>
      </w:r>
      <w:r w:rsidRPr="0075448A">
        <w:tab/>
        <w:t>il decreto sindacale n. 11 del 16 novembre 2015, con il quale il sottoscritto è stato nominato Responsabile della II Unità organizzativa</w:t>
      </w:r>
      <w:r w:rsidRPr="0075448A">
        <w:rPr>
          <w:i/>
        </w:rPr>
        <w:t xml:space="preserve"> Servizi finanziari</w:t>
      </w:r>
      <w:r w:rsidRPr="0075448A">
        <w:t>, comprendente i</w:t>
      </w:r>
      <w:r>
        <w:t xml:space="preserve"> servizi </w:t>
      </w:r>
      <w:r w:rsidRPr="00492CC8">
        <w:rPr>
          <w:i/>
        </w:rPr>
        <w:t>Ragioneria</w:t>
      </w:r>
      <w:r>
        <w:t xml:space="preserve"> e</w:t>
      </w:r>
      <w:r w:rsidRPr="0075448A">
        <w:t xml:space="preserve"> </w:t>
      </w:r>
      <w:r w:rsidRPr="0075448A">
        <w:rPr>
          <w:i/>
        </w:rPr>
        <w:t>Affari legali</w:t>
      </w:r>
      <w:r w:rsidRPr="0075448A">
        <w:t xml:space="preserve">; </w:t>
      </w:r>
    </w:p>
    <w:p w:rsidR="00521A6F" w:rsidRDefault="00521A6F" w:rsidP="001810E0">
      <w:pPr>
        <w:widowControl/>
        <w:autoSpaceDE/>
        <w:autoSpaceDN/>
        <w:adjustRightInd/>
        <w:spacing w:before="10"/>
        <w:ind w:left="284" w:hanging="284"/>
        <w:jc w:val="both"/>
      </w:pPr>
      <w:bookmarkStart w:id="0" w:name="_GoBack"/>
      <w:bookmarkEnd w:id="0"/>
    </w:p>
    <w:p w:rsidR="00521A6F" w:rsidRDefault="00521A6F" w:rsidP="001810E0">
      <w:pPr>
        <w:widowControl/>
        <w:autoSpaceDE/>
        <w:autoSpaceDN/>
        <w:adjustRightInd/>
        <w:jc w:val="both"/>
        <w:rPr>
          <w:rFonts w:cs="Times-Roman"/>
          <w:strike/>
          <w:szCs w:val="23"/>
        </w:rPr>
      </w:pPr>
      <w:r w:rsidRPr="003901B7">
        <w:rPr>
          <w:rFonts w:cs="Times-Roman"/>
          <w:szCs w:val="23"/>
        </w:rPr>
        <w:t>VERIFICATA, ai sensi dell’art. 147-bis del D.Lgs. 267/2000 e dell’art. 3, comma 2, del vigente regolamento sui controlli interni, la regolarità amministrativa, con riguardo in particolare al rispetto delle leggi, dello statuto, dei regolamenti, alla compatibilità della spesa/entrata con le risorse assegnate ed espresso al riguardo parere favorevole di regolarità tecnica;</w:t>
      </w:r>
      <w:r w:rsidRPr="00D07CC4">
        <w:rPr>
          <w:rFonts w:cs="Times-Roman"/>
          <w:strike/>
          <w:szCs w:val="23"/>
        </w:rPr>
        <w:t xml:space="preserve"> </w:t>
      </w:r>
    </w:p>
    <w:p w:rsidR="00521A6F" w:rsidRDefault="00521A6F" w:rsidP="001810E0">
      <w:pPr>
        <w:pStyle w:val="rtf2rtf1Standard"/>
        <w:rPr>
          <w:bCs/>
          <w:szCs w:val="22"/>
        </w:rPr>
      </w:pPr>
    </w:p>
    <w:p w:rsidR="00521A6F" w:rsidRPr="00FF467D" w:rsidRDefault="00521A6F" w:rsidP="001810E0">
      <w:pPr>
        <w:widowControl/>
        <w:autoSpaceDE/>
        <w:autoSpaceDN/>
        <w:adjustRightInd/>
        <w:spacing w:after="60"/>
        <w:jc w:val="both"/>
      </w:pPr>
      <w:r>
        <w:t xml:space="preserve">DATO ATTO, ai fini degli adempimenti di cui all’art. 1, comma 32, della legge 190/2012, che le informazioni </w:t>
      </w:r>
      <w:r w:rsidRPr="008D6CB2">
        <w:t xml:space="preserve">sulla presente procedura di affidamento </w:t>
      </w:r>
      <w:r>
        <w:t xml:space="preserve">da pubblicare nella sezione </w:t>
      </w:r>
      <w:r w:rsidRPr="00252D63">
        <w:rPr>
          <w:i/>
        </w:rPr>
        <w:t>Amministrazione</w:t>
      </w:r>
      <w:r>
        <w:t xml:space="preserve"> </w:t>
      </w:r>
      <w:r w:rsidRPr="008D6CB2">
        <w:rPr>
          <w:i/>
        </w:rPr>
        <w:t>Trasparen</w:t>
      </w:r>
      <w:r>
        <w:rPr>
          <w:i/>
        </w:rPr>
        <w:t>te</w:t>
      </w:r>
      <w:r>
        <w:t xml:space="preserve"> </w:t>
      </w:r>
      <w:r w:rsidRPr="00252D63">
        <w:rPr>
          <w:i/>
        </w:rPr>
        <w:t xml:space="preserve">– Bandi di gara </w:t>
      </w:r>
      <w:r>
        <w:t>del sito internet comunale sono le seguenti:</w:t>
      </w:r>
    </w:p>
    <w:tbl>
      <w:tblPr>
        <w:tblStyle w:val="rtf2NormalTable"/>
        <w:tblW w:w="9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670"/>
        <w:gridCol w:w="59"/>
      </w:tblGrid>
      <w:tr w:rsidR="00521A6F" w:rsidRPr="00021565" w:rsidTr="00FD480F">
        <w:tc>
          <w:tcPr>
            <w:tcW w:w="3686" w:type="dxa"/>
          </w:tcPr>
          <w:p w:rsidR="00521A6F" w:rsidRPr="00021565" w:rsidRDefault="00521A6F" w:rsidP="00FD480F">
            <w:pPr>
              <w:widowControl/>
              <w:autoSpaceDE/>
              <w:autoSpaceDN/>
              <w:adjustRightInd/>
            </w:pPr>
            <w:r w:rsidRPr="00021565">
              <w:t>Oggetto</w:t>
            </w:r>
          </w:p>
        </w:tc>
        <w:tc>
          <w:tcPr>
            <w:tcW w:w="5729" w:type="dxa"/>
            <w:gridSpan w:val="2"/>
          </w:tcPr>
          <w:p w:rsidR="00521A6F" w:rsidRPr="00060656" w:rsidRDefault="00521A6F" w:rsidP="00FD480F">
            <w:pPr>
              <w:widowControl/>
              <w:autoSpaceDE/>
              <w:autoSpaceDN/>
              <w:adjustRightInd/>
            </w:pPr>
            <w:r>
              <w:t>concessione del servizio di tesoreria comunale</w:t>
            </w:r>
          </w:p>
        </w:tc>
      </w:tr>
      <w:tr w:rsidR="00521A6F" w:rsidRPr="00021565" w:rsidTr="00FD480F">
        <w:tc>
          <w:tcPr>
            <w:tcW w:w="3686" w:type="dxa"/>
          </w:tcPr>
          <w:p w:rsidR="00521A6F" w:rsidRPr="00021565" w:rsidRDefault="00521A6F" w:rsidP="00FD480F">
            <w:pPr>
              <w:widowControl/>
              <w:autoSpaceDE/>
              <w:autoSpaceDN/>
              <w:adjustRightInd/>
            </w:pPr>
            <w:r w:rsidRPr="00021565">
              <w:t>Tipo contratto</w:t>
            </w:r>
          </w:p>
        </w:tc>
        <w:tc>
          <w:tcPr>
            <w:tcW w:w="5729" w:type="dxa"/>
            <w:gridSpan w:val="2"/>
          </w:tcPr>
          <w:p w:rsidR="00521A6F" w:rsidRPr="00060656" w:rsidRDefault="00521A6F" w:rsidP="00FD480F">
            <w:pPr>
              <w:widowControl/>
              <w:autoSpaceDE/>
              <w:autoSpaceDN/>
              <w:adjustRightInd/>
            </w:pPr>
            <w:r w:rsidRPr="00060656">
              <w:t>Servizio</w:t>
            </w:r>
          </w:p>
        </w:tc>
      </w:tr>
      <w:tr w:rsidR="00521A6F" w:rsidRPr="00021565" w:rsidTr="00FD480F">
        <w:tc>
          <w:tcPr>
            <w:tcW w:w="3686" w:type="dxa"/>
          </w:tcPr>
          <w:p w:rsidR="00521A6F" w:rsidRPr="00021565" w:rsidRDefault="00521A6F" w:rsidP="00FD480F">
            <w:pPr>
              <w:widowControl/>
              <w:autoSpaceDE/>
              <w:autoSpaceDN/>
              <w:adjustRightInd/>
            </w:pPr>
            <w:r w:rsidRPr="00021565">
              <w:t>CIG</w:t>
            </w:r>
          </w:p>
        </w:tc>
        <w:tc>
          <w:tcPr>
            <w:tcW w:w="5729" w:type="dxa"/>
            <w:gridSpan w:val="2"/>
          </w:tcPr>
          <w:p w:rsidR="00521A6F" w:rsidRPr="00060656" w:rsidRDefault="00521A6F" w:rsidP="00FD480F">
            <w:pPr>
              <w:widowControl/>
              <w:autoSpaceDE/>
              <w:autoSpaceDN/>
              <w:adjustRightInd/>
            </w:pPr>
            <w:r w:rsidRPr="00A1488E">
              <w:rPr>
                <w:b/>
                <w:bCs/>
              </w:rPr>
              <w:t>ZEE197AC74</w:t>
            </w:r>
          </w:p>
        </w:tc>
      </w:tr>
      <w:tr w:rsidR="00521A6F" w:rsidRPr="00021565" w:rsidTr="00FD480F">
        <w:tc>
          <w:tcPr>
            <w:tcW w:w="3686" w:type="dxa"/>
          </w:tcPr>
          <w:p w:rsidR="00521A6F" w:rsidRPr="00021565" w:rsidRDefault="00521A6F" w:rsidP="00FD480F">
            <w:pPr>
              <w:widowControl/>
              <w:autoSpaceDE/>
              <w:autoSpaceDN/>
              <w:adjustRightInd/>
            </w:pPr>
            <w:r w:rsidRPr="00021565">
              <w:t>Procedura di scelta del contraente</w:t>
            </w:r>
          </w:p>
        </w:tc>
        <w:tc>
          <w:tcPr>
            <w:tcW w:w="5729" w:type="dxa"/>
            <w:gridSpan w:val="2"/>
          </w:tcPr>
          <w:p w:rsidR="00521A6F" w:rsidRPr="00060656" w:rsidRDefault="00521A6F" w:rsidP="00FD480F">
            <w:pPr>
              <w:widowControl/>
              <w:tabs>
                <w:tab w:val="left" w:pos="277"/>
              </w:tabs>
              <w:autoSpaceDE/>
              <w:autoSpaceDN/>
              <w:adjustRightInd/>
            </w:pPr>
            <w:r w:rsidRPr="00060656">
              <w:t xml:space="preserve">Procedura negoziata </w:t>
            </w:r>
            <w:r w:rsidRPr="0034342A">
              <w:t>con</w:t>
            </w:r>
            <w:r w:rsidRPr="00060656">
              <w:t xml:space="preserve"> pubblicazione bando di gara</w:t>
            </w:r>
          </w:p>
        </w:tc>
      </w:tr>
      <w:tr w:rsidR="00521A6F" w:rsidRPr="00021565" w:rsidTr="00FD480F">
        <w:tc>
          <w:tcPr>
            <w:tcW w:w="3686" w:type="dxa"/>
          </w:tcPr>
          <w:p w:rsidR="00521A6F" w:rsidRPr="00021565" w:rsidRDefault="00521A6F" w:rsidP="00FD480F">
            <w:pPr>
              <w:widowControl/>
              <w:autoSpaceDE/>
              <w:autoSpaceDN/>
              <w:adjustRightInd/>
            </w:pPr>
            <w:r w:rsidRPr="00021565">
              <w:t>Criterio di aggiudicazione</w:t>
            </w:r>
          </w:p>
        </w:tc>
        <w:tc>
          <w:tcPr>
            <w:tcW w:w="5729" w:type="dxa"/>
            <w:gridSpan w:val="2"/>
          </w:tcPr>
          <w:p w:rsidR="00521A6F" w:rsidRPr="00060656" w:rsidRDefault="00521A6F" w:rsidP="00FD480F">
            <w:pPr>
              <w:widowControl/>
              <w:autoSpaceDE/>
              <w:autoSpaceDN/>
              <w:adjustRightInd/>
            </w:pPr>
            <w:r w:rsidRPr="00060656">
              <w:t>Offerta economicamente più vantaggiosa</w:t>
            </w:r>
          </w:p>
        </w:tc>
      </w:tr>
      <w:tr w:rsidR="00521A6F" w:rsidRPr="00021565" w:rsidTr="00FD480F">
        <w:tc>
          <w:tcPr>
            <w:tcW w:w="3686" w:type="dxa"/>
          </w:tcPr>
          <w:p w:rsidR="00521A6F" w:rsidRPr="00021565" w:rsidRDefault="00521A6F" w:rsidP="00FD480F">
            <w:pPr>
              <w:widowControl/>
              <w:autoSpaceDE/>
              <w:autoSpaceDN/>
              <w:adjustRightInd/>
            </w:pPr>
            <w:r w:rsidRPr="00021565">
              <w:t>Importo</w:t>
            </w:r>
          </w:p>
        </w:tc>
        <w:tc>
          <w:tcPr>
            <w:tcW w:w="5729" w:type="dxa"/>
            <w:gridSpan w:val="2"/>
          </w:tcPr>
          <w:p w:rsidR="00521A6F" w:rsidRPr="00060656" w:rsidRDefault="00521A6F" w:rsidP="00FD480F">
            <w:pPr>
              <w:widowControl/>
              <w:autoSpaceDE/>
              <w:autoSpaceDN/>
              <w:adjustRightInd/>
            </w:pPr>
            <w:r>
              <w:t>€ 14.300,00</w:t>
            </w:r>
          </w:p>
        </w:tc>
      </w:tr>
      <w:tr w:rsidR="00521A6F" w:rsidRPr="00021565" w:rsidTr="00FD480F">
        <w:trPr>
          <w:gridAfter w:val="1"/>
          <w:wAfter w:w="59" w:type="dxa"/>
        </w:trPr>
        <w:tc>
          <w:tcPr>
            <w:tcW w:w="3686" w:type="dxa"/>
          </w:tcPr>
          <w:p w:rsidR="00521A6F" w:rsidRPr="00021565" w:rsidRDefault="00521A6F" w:rsidP="00FD480F">
            <w:pPr>
              <w:widowControl/>
              <w:autoSpaceDE/>
              <w:autoSpaceDN/>
              <w:adjustRightInd/>
            </w:pPr>
            <w:r w:rsidRPr="00021565">
              <w:t xml:space="preserve">Data inizio </w:t>
            </w:r>
          </w:p>
        </w:tc>
        <w:tc>
          <w:tcPr>
            <w:tcW w:w="5670" w:type="dxa"/>
          </w:tcPr>
          <w:p w:rsidR="00521A6F" w:rsidRPr="00060656" w:rsidRDefault="00521A6F" w:rsidP="00FD480F">
            <w:pPr>
              <w:widowControl/>
              <w:autoSpaceDE/>
              <w:autoSpaceDN/>
              <w:adjustRightInd/>
            </w:pPr>
            <w:r>
              <w:t>01/07/2016</w:t>
            </w:r>
          </w:p>
        </w:tc>
      </w:tr>
      <w:tr w:rsidR="00521A6F" w:rsidRPr="00021565" w:rsidTr="00FD480F">
        <w:trPr>
          <w:gridAfter w:val="1"/>
          <w:wAfter w:w="59" w:type="dxa"/>
        </w:trPr>
        <w:tc>
          <w:tcPr>
            <w:tcW w:w="3686" w:type="dxa"/>
          </w:tcPr>
          <w:p w:rsidR="00521A6F" w:rsidRPr="00021565" w:rsidRDefault="00521A6F" w:rsidP="00FD480F">
            <w:pPr>
              <w:widowControl/>
              <w:autoSpaceDE/>
              <w:autoSpaceDN/>
              <w:adjustRightInd/>
            </w:pPr>
            <w:r w:rsidRPr="00021565">
              <w:t>Data fine</w:t>
            </w:r>
          </w:p>
        </w:tc>
        <w:tc>
          <w:tcPr>
            <w:tcW w:w="5670" w:type="dxa"/>
          </w:tcPr>
          <w:p w:rsidR="00521A6F" w:rsidRPr="00060656" w:rsidRDefault="00521A6F" w:rsidP="00FD480F">
            <w:pPr>
              <w:widowControl/>
              <w:autoSpaceDE/>
              <w:autoSpaceDN/>
              <w:adjustRightInd/>
            </w:pPr>
            <w:r>
              <w:t>31/12/2019</w:t>
            </w:r>
          </w:p>
        </w:tc>
      </w:tr>
    </w:tbl>
    <w:p w:rsidR="00521A6F" w:rsidRDefault="00521A6F" w:rsidP="001810E0">
      <w:pPr>
        <w:widowControl/>
        <w:autoSpaceDE/>
        <w:autoSpaceDN/>
        <w:adjustRightInd/>
      </w:pPr>
    </w:p>
    <w:p w:rsidR="00521A6F" w:rsidRPr="005B58CD" w:rsidRDefault="00521A6F" w:rsidP="001810E0">
      <w:pPr>
        <w:widowControl/>
        <w:autoSpaceDE/>
        <w:autoSpaceDN/>
        <w:adjustRightInd/>
        <w:jc w:val="center"/>
        <w:rPr>
          <w:b/>
        </w:rPr>
      </w:pPr>
      <w:r w:rsidRPr="005B58CD">
        <w:rPr>
          <w:b/>
        </w:rPr>
        <w:t>DETERMINA</w:t>
      </w:r>
    </w:p>
    <w:p w:rsidR="00521A6F" w:rsidRPr="006D1416" w:rsidRDefault="00521A6F" w:rsidP="00EE76CB">
      <w:pPr>
        <w:pStyle w:val="rtf2rtf1Standard"/>
        <w:numPr>
          <w:ilvl w:val="0"/>
          <w:numId w:val="5"/>
        </w:numPr>
        <w:spacing w:before="60"/>
        <w:ind w:left="397" w:hanging="397"/>
        <w:jc w:val="both"/>
      </w:pPr>
      <w:r w:rsidRPr="00050530">
        <w:rPr>
          <w:szCs w:val="22"/>
        </w:rPr>
        <w:t xml:space="preserve">di indire una procedura di </w:t>
      </w:r>
      <w:r w:rsidRPr="00FD5678">
        <w:rPr>
          <w:szCs w:val="22"/>
        </w:rPr>
        <w:t xml:space="preserve">affidamento </w:t>
      </w:r>
      <w:r>
        <w:rPr>
          <w:szCs w:val="22"/>
        </w:rPr>
        <w:t xml:space="preserve">della concessione </w:t>
      </w:r>
      <w:r w:rsidRPr="00FD5678">
        <w:rPr>
          <w:szCs w:val="22"/>
        </w:rPr>
        <w:t>del servizio di</w:t>
      </w:r>
      <w:r>
        <w:rPr>
          <w:szCs w:val="22"/>
        </w:rPr>
        <w:t xml:space="preserve"> tesoreria comunale</w:t>
      </w:r>
      <w:r w:rsidRPr="00FD5678">
        <w:rPr>
          <w:szCs w:val="22"/>
        </w:rPr>
        <w:t xml:space="preserve"> </w:t>
      </w:r>
      <w:r>
        <w:rPr>
          <w:szCs w:val="22"/>
        </w:rPr>
        <w:t xml:space="preserve">per il periodo decorrente </w:t>
      </w:r>
      <w:r w:rsidRPr="00FD5678">
        <w:rPr>
          <w:szCs w:val="22"/>
        </w:rPr>
        <w:t>dal</w:t>
      </w:r>
      <w:r>
        <w:rPr>
          <w:szCs w:val="22"/>
        </w:rPr>
        <w:t xml:space="preserve"> 1° luglio 2016 </w:t>
      </w:r>
      <w:r w:rsidRPr="00FD5678">
        <w:rPr>
          <w:szCs w:val="22"/>
        </w:rPr>
        <w:t>al</w:t>
      </w:r>
      <w:r>
        <w:rPr>
          <w:szCs w:val="22"/>
        </w:rPr>
        <w:t xml:space="preserve"> 31 dicembre 2019</w:t>
      </w:r>
      <w:r w:rsidRPr="00FD5678">
        <w:rPr>
          <w:szCs w:val="22"/>
        </w:rPr>
        <w:t xml:space="preserve">, </w:t>
      </w:r>
      <w:r>
        <w:rPr>
          <w:szCs w:val="22"/>
        </w:rPr>
        <w:t>con facoltà di rinnovo per un triennio (</w:t>
      </w:r>
      <w:r w:rsidRPr="006D1416">
        <w:rPr>
          <w:b/>
          <w:szCs w:val="22"/>
        </w:rPr>
        <w:t>CIG</w:t>
      </w:r>
      <w:r>
        <w:rPr>
          <w:b/>
          <w:bCs/>
          <w:szCs w:val="28"/>
        </w:rPr>
        <w:t xml:space="preserve"> </w:t>
      </w:r>
      <w:r w:rsidRPr="00A1488E">
        <w:rPr>
          <w:rFonts w:eastAsia="Times New Roman" w:cs="Times New Roman"/>
          <w:b/>
          <w:bCs/>
          <w:lang w:eastAsia="it-IT"/>
        </w:rPr>
        <w:t>ZEE197AC74</w:t>
      </w:r>
      <w:r>
        <w:rPr>
          <w:szCs w:val="22"/>
        </w:rPr>
        <w:t>), mediante procedura negoziata con pubblicazione del bando di gara con le modalità precisate in parte narrativa;</w:t>
      </w:r>
    </w:p>
    <w:p w:rsidR="00521A6F" w:rsidRPr="00EC1A00" w:rsidRDefault="00521A6F" w:rsidP="00EE76CB">
      <w:pPr>
        <w:pStyle w:val="rtf2rtf1Standard"/>
        <w:numPr>
          <w:ilvl w:val="0"/>
          <w:numId w:val="5"/>
        </w:numPr>
        <w:spacing w:before="60"/>
        <w:ind w:left="397" w:hanging="397"/>
        <w:jc w:val="both"/>
        <w:rPr>
          <w:rFonts w:eastAsia="Times New Roman" w:cs="Trebuchet MS"/>
          <w:color w:val="000000"/>
          <w:szCs w:val="22"/>
        </w:rPr>
      </w:pPr>
      <w:r w:rsidRPr="00EC1A00">
        <w:rPr>
          <w:rFonts w:eastAsia="Times New Roman" w:cs="Trebuchet MS"/>
          <w:color w:val="000000"/>
          <w:szCs w:val="22"/>
          <w:lang w:bidi="ar-SA"/>
        </w:rPr>
        <w:t xml:space="preserve">di dare atto che </w:t>
      </w:r>
      <w:r>
        <w:rPr>
          <w:rFonts w:eastAsia="Times New Roman" w:cs="Trebuchet MS"/>
          <w:color w:val="000000"/>
          <w:szCs w:val="22"/>
          <w:lang w:bidi="ar-SA"/>
        </w:rPr>
        <w:t>il valore</w:t>
      </w:r>
      <w:r w:rsidRPr="00EC1A00">
        <w:rPr>
          <w:rFonts w:eastAsia="Times New Roman" w:cs="Trebuchet MS"/>
          <w:color w:val="000000"/>
          <w:szCs w:val="22"/>
          <w:lang w:bidi="ar-SA"/>
        </w:rPr>
        <w:t xml:space="preserve"> stimato </w:t>
      </w:r>
      <w:r>
        <w:rPr>
          <w:rFonts w:eastAsia="Times New Roman" w:cs="Trebuchet MS"/>
          <w:color w:val="000000"/>
          <w:szCs w:val="22"/>
          <w:lang w:bidi="ar-SA"/>
        </w:rPr>
        <w:t>della concessione è d</w:t>
      </w:r>
      <w:r w:rsidRPr="00EC1A00">
        <w:rPr>
          <w:rFonts w:eastAsia="Times New Roman" w:cs="Trebuchet MS"/>
          <w:color w:val="000000"/>
          <w:szCs w:val="22"/>
          <w:lang w:bidi="ar-SA"/>
        </w:rPr>
        <w:t xml:space="preserve">i </w:t>
      </w:r>
      <w:r w:rsidRPr="00611CD6">
        <w:rPr>
          <w:rFonts w:eastAsia="Times New Roman" w:cs="Trebuchet MS"/>
          <w:color w:val="000000"/>
          <w:szCs w:val="22"/>
          <w:lang w:bidi="ar-SA"/>
        </w:rPr>
        <w:t>€ 7.150,00</w:t>
      </w:r>
      <w:r w:rsidRPr="00EC1A00">
        <w:rPr>
          <w:rFonts w:eastAsia="Times New Roman" w:cs="Trebuchet MS"/>
          <w:color w:val="000000"/>
          <w:szCs w:val="22"/>
          <w:lang w:bidi="ar-SA"/>
        </w:rPr>
        <w:t xml:space="preserve"> </w:t>
      </w:r>
      <w:r>
        <w:rPr>
          <w:rFonts w:eastAsia="Times New Roman" w:cs="Trebuchet MS"/>
          <w:color w:val="000000"/>
          <w:szCs w:val="22"/>
          <w:lang w:bidi="ar-SA"/>
        </w:rPr>
        <w:t>(</w:t>
      </w:r>
      <w:r w:rsidRPr="00EC1A00">
        <w:rPr>
          <w:rFonts w:eastAsia="Times New Roman" w:cs="Trebuchet MS"/>
          <w:color w:val="000000"/>
          <w:szCs w:val="22"/>
          <w:lang w:bidi="ar-SA"/>
        </w:rPr>
        <w:t xml:space="preserve">€ </w:t>
      </w:r>
      <w:r>
        <w:rPr>
          <w:rFonts w:eastAsia="Times New Roman" w:cs="Arial"/>
          <w:bCs/>
          <w:szCs w:val="22"/>
        </w:rPr>
        <w:t xml:space="preserve">14.300,00 </w:t>
      </w:r>
      <w:r w:rsidRPr="00EC1A00">
        <w:rPr>
          <w:rFonts w:cs="Trebuchet MS"/>
          <w:color w:val="000000"/>
          <w:szCs w:val="22"/>
        </w:rPr>
        <w:t>comprensivo dell’opzione di rinnovo</w:t>
      </w:r>
      <w:r>
        <w:rPr>
          <w:rFonts w:cs="Trebuchet MS"/>
          <w:color w:val="000000"/>
          <w:szCs w:val="22"/>
        </w:rPr>
        <w:t>)</w:t>
      </w:r>
      <w:r w:rsidRPr="00EC1A00">
        <w:rPr>
          <w:rFonts w:cs="Trebuchet MS"/>
          <w:color w:val="000000"/>
          <w:szCs w:val="22"/>
        </w:rPr>
        <w:t xml:space="preserve">, </w:t>
      </w:r>
      <w:r>
        <w:rPr>
          <w:rFonts w:cs="Trebuchet MS"/>
          <w:color w:val="000000"/>
          <w:szCs w:val="22"/>
        </w:rPr>
        <w:t>precisandosi peraltro che tale valore viene così quantificato ai soli fini dell’acquisizione del codice identificativo di gara (CIG) e del calcolo dei diritti di rogito sul valore di stipula, in quanto il servizio di tesoreria dovrà essere svolto in forma gratuita, fatte salve le commissioni applicate sulle operazioni e il compenso per la conservazione a norma di legge dei documenti digitali come da offerta espressa dell’aggiudicatario in sede di gara</w:t>
      </w:r>
      <w:r w:rsidRPr="00EC1A00">
        <w:rPr>
          <w:rFonts w:eastAsia="Times New Roman" w:cs="Trebuchet MS"/>
          <w:color w:val="000000"/>
          <w:szCs w:val="22"/>
        </w:rPr>
        <w:t>;</w:t>
      </w:r>
    </w:p>
    <w:p w:rsidR="00521A6F" w:rsidRPr="006D1416" w:rsidRDefault="00521A6F" w:rsidP="00EE76CB">
      <w:pPr>
        <w:pStyle w:val="rtf2rtf1Standard"/>
        <w:numPr>
          <w:ilvl w:val="0"/>
          <w:numId w:val="5"/>
        </w:numPr>
        <w:spacing w:before="60"/>
        <w:ind w:left="397" w:hanging="397"/>
        <w:jc w:val="both"/>
      </w:pPr>
      <w:r w:rsidRPr="00FD5678">
        <w:rPr>
          <w:rFonts w:eastAsia="Times New Roman" w:cs="Trebuchet MS"/>
          <w:color w:val="000000"/>
          <w:szCs w:val="22"/>
          <w:lang w:bidi="ar-SA"/>
        </w:rPr>
        <w:t xml:space="preserve">di </w:t>
      </w:r>
      <w:r>
        <w:rPr>
          <w:rFonts w:eastAsia="Times New Roman" w:cs="Trebuchet MS"/>
          <w:color w:val="000000"/>
          <w:szCs w:val="22"/>
          <w:lang w:bidi="ar-SA"/>
        </w:rPr>
        <w:t xml:space="preserve">dare atto che il servizio non comporta rischi da interferenza e i conseguenti </w:t>
      </w:r>
      <w:r w:rsidRPr="00FD5678">
        <w:rPr>
          <w:rFonts w:eastAsia="Times New Roman" w:cs="Trebuchet MS"/>
          <w:color w:val="000000"/>
          <w:szCs w:val="22"/>
          <w:lang w:bidi="ar-SA"/>
        </w:rPr>
        <w:t>oneri per la sicurezza</w:t>
      </w:r>
      <w:r>
        <w:rPr>
          <w:rFonts w:eastAsia="Times New Roman" w:cs="Trebuchet MS"/>
          <w:color w:val="000000"/>
          <w:szCs w:val="22"/>
          <w:lang w:bidi="ar-SA"/>
        </w:rPr>
        <w:t>;</w:t>
      </w:r>
    </w:p>
    <w:p w:rsidR="00521A6F" w:rsidRPr="00A91497" w:rsidRDefault="00521A6F" w:rsidP="00EE76CB">
      <w:pPr>
        <w:pStyle w:val="rtf2rtf1Standard"/>
        <w:numPr>
          <w:ilvl w:val="0"/>
          <w:numId w:val="5"/>
        </w:numPr>
        <w:spacing w:before="60"/>
        <w:ind w:left="397" w:hanging="397"/>
        <w:jc w:val="both"/>
      </w:pPr>
      <w:r>
        <w:rPr>
          <w:szCs w:val="22"/>
        </w:rPr>
        <w:t xml:space="preserve">di </w:t>
      </w:r>
      <w:r w:rsidRPr="00FD5678">
        <w:rPr>
          <w:rFonts w:eastAsia="Times New Roman" w:cs="Trebuchet MS"/>
          <w:color w:val="000000"/>
          <w:szCs w:val="22"/>
          <w:lang w:bidi="ar-SA"/>
        </w:rPr>
        <w:t>demanda</w:t>
      </w:r>
      <w:r>
        <w:rPr>
          <w:rFonts w:eastAsia="Times New Roman" w:cs="Trebuchet MS"/>
          <w:color w:val="000000"/>
          <w:szCs w:val="22"/>
          <w:lang w:bidi="ar-SA"/>
        </w:rPr>
        <w:t>re</w:t>
      </w:r>
      <w:r w:rsidRPr="00FD5678">
        <w:rPr>
          <w:rFonts w:eastAsia="Times New Roman" w:cs="Trebuchet MS"/>
          <w:color w:val="000000"/>
          <w:szCs w:val="22"/>
          <w:lang w:bidi="ar-SA"/>
        </w:rPr>
        <w:t xml:space="preserve"> alla Stazione Unica Appaltante della Provincia di Treviso le funzioni di </w:t>
      </w:r>
      <w:r>
        <w:rPr>
          <w:rFonts w:eastAsia="Times New Roman" w:cs="Trebuchet MS"/>
          <w:color w:val="000000"/>
          <w:szCs w:val="22"/>
          <w:lang w:bidi="ar-SA"/>
        </w:rPr>
        <w:t>a</w:t>
      </w:r>
      <w:r w:rsidRPr="00FD5678">
        <w:rPr>
          <w:rFonts w:eastAsia="Times New Roman" w:cs="Trebuchet MS"/>
          <w:color w:val="000000"/>
          <w:szCs w:val="22"/>
          <w:lang w:bidi="ar-SA"/>
        </w:rPr>
        <w:t xml:space="preserve">mministrazione </w:t>
      </w:r>
      <w:r>
        <w:rPr>
          <w:rFonts w:eastAsia="Times New Roman" w:cs="Trebuchet MS"/>
          <w:color w:val="000000"/>
          <w:szCs w:val="22"/>
          <w:lang w:bidi="ar-SA"/>
        </w:rPr>
        <w:t>a</w:t>
      </w:r>
      <w:r w:rsidRPr="00FD5678">
        <w:rPr>
          <w:rFonts w:eastAsia="Times New Roman" w:cs="Trebuchet MS"/>
          <w:color w:val="000000"/>
          <w:szCs w:val="22"/>
          <w:lang w:bidi="ar-SA"/>
        </w:rPr>
        <w:t xml:space="preserve">ggiudicatrice </w:t>
      </w:r>
      <w:r>
        <w:rPr>
          <w:rFonts w:eastAsia="Times New Roman" w:cs="Trebuchet MS"/>
          <w:color w:val="000000"/>
          <w:szCs w:val="22"/>
          <w:lang w:bidi="ar-SA"/>
        </w:rPr>
        <w:t>in base alla</w:t>
      </w:r>
      <w:r w:rsidRPr="00FD5678">
        <w:rPr>
          <w:rFonts w:eastAsia="Times New Roman" w:cs="Trebuchet MS"/>
          <w:color w:val="000000"/>
          <w:szCs w:val="22"/>
          <w:lang w:bidi="ar-SA"/>
        </w:rPr>
        <w:t xml:space="preserve"> convenzione sottoscritta </w:t>
      </w:r>
      <w:r>
        <w:rPr>
          <w:rFonts w:eastAsia="Times New Roman" w:cs="Trebuchet MS"/>
          <w:color w:val="000000"/>
          <w:szCs w:val="22"/>
          <w:lang w:bidi="ar-SA"/>
        </w:rPr>
        <w:t xml:space="preserve">con la medesima amministrazione provinciale </w:t>
      </w:r>
      <w:r w:rsidRPr="00FD5678">
        <w:rPr>
          <w:rFonts w:eastAsia="Times New Roman" w:cs="Trebuchet MS"/>
          <w:color w:val="000000"/>
          <w:szCs w:val="22"/>
          <w:lang w:bidi="ar-SA"/>
        </w:rPr>
        <w:t>richiamata</w:t>
      </w:r>
      <w:r w:rsidRPr="006D1416">
        <w:rPr>
          <w:rFonts w:eastAsia="Times New Roman" w:cs="Trebuchet MS"/>
          <w:color w:val="000000"/>
          <w:szCs w:val="22"/>
          <w:lang w:bidi="ar-SA"/>
        </w:rPr>
        <w:t xml:space="preserve"> </w:t>
      </w:r>
      <w:r w:rsidRPr="00FD5678">
        <w:rPr>
          <w:rFonts w:eastAsia="Times New Roman" w:cs="Trebuchet MS"/>
          <w:color w:val="000000"/>
          <w:szCs w:val="22"/>
          <w:lang w:bidi="ar-SA"/>
        </w:rPr>
        <w:t xml:space="preserve">in </w:t>
      </w:r>
      <w:r>
        <w:rPr>
          <w:rFonts w:eastAsia="Times New Roman" w:cs="Trebuchet MS"/>
          <w:color w:val="000000"/>
          <w:szCs w:val="22"/>
          <w:lang w:bidi="ar-SA"/>
        </w:rPr>
        <w:t>parte narrativa</w:t>
      </w:r>
      <w:r>
        <w:rPr>
          <w:rFonts w:cs="Trebuchet MS"/>
          <w:color w:val="000000"/>
          <w:szCs w:val="22"/>
        </w:rPr>
        <w:t xml:space="preserve">, dandosi atto che </w:t>
      </w:r>
      <w:r w:rsidRPr="00B10029">
        <w:rPr>
          <w:rFonts w:eastAsia="Times New Roman" w:cs="Trebuchet MS"/>
          <w:bCs/>
          <w:color w:val="000000"/>
          <w:szCs w:val="22"/>
          <w:lang w:bidi="ar-SA"/>
        </w:rPr>
        <w:t>rimangono comunque in capo al Comune le attività amministrative e di gestione a rilevanza esterna, e in particolare l’aggiudicazione definitiva</w:t>
      </w:r>
      <w:r>
        <w:rPr>
          <w:rFonts w:eastAsia="Times New Roman" w:cs="Trebuchet MS"/>
          <w:bCs/>
          <w:color w:val="000000"/>
          <w:szCs w:val="22"/>
          <w:lang w:bidi="ar-SA"/>
        </w:rPr>
        <w:t xml:space="preserve"> e i connessi adempimenti</w:t>
      </w:r>
      <w:r w:rsidRPr="00FD5678">
        <w:rPr>
          <w:rFonts w:eastAsia="Times New Roman" w:cs="Trebuchet MS"/>
          <w:color w:val="000000"/>
          <w:szCs w:val="22"/>
          <w:lang w:bidi="ar-SA"/>
        </w:rPr>
        <w:t>;</w:t>
      </w:r>
    </w:p>
    <w:p w:rsidR="00521A6F" w:rsidRPr="00FD5678" w:rsidRDefault="00521A6F" w:rsidP="00EE76CB">
      <w:pPr>
        <w:pStyle w:val="rtf2rtf1Standard"/>
        <w:numPr>
          <w:ilvl w:val="0"/>
          <w:numId w:val="5"/>
        </w:numPr>
        <w:spacing w:before="60"/>
        <w:ind w:left="397" w:hanging="397"/>
        <w:jc w:val="both"/>
        <w:rPr>
          <w:rFonts w:cs="Trebuchet MS"/>
          <w:szCs w:val="22"/>
        </w:rPr>
      </w:pPr>
      <w:r w:rsidRPr="00FD5678">
        <w:rPr>
          <w:rFonts w:eastAsia="Times New Roman" w:cs="Trebuchet MS"/>
          <w:color w:val="000000"/>
          <w:szCs w:val="22"/>
          <w:lang w:bidi="ar-SA"/>
        </w:rPr>
        <w:t>di dare atto</w:t>
      </w:r>
      <w:r>
        <w:rPr>
          <w:rFonts w:eastAsia="Times New Roman" w:cs="Trebuchet MS"/>
          <w:color w:val="000000"/>
          <w:szCs w:val="22"/>
          <w:lang w:bidi="ar-SA"/>
        </w:rPr>
        <w:t>, al riguardo,</w:t>
      </w:r>
      <w:r w:rsidRPr="00FD5678">
        <w:rPr>
          <w:rFonts w:eastAsia="Times New Roman" w:cs="Trebuchet MS"/>
          <w:color w:val="000000"/>
          <w:szCs w:val="22"/>
          <w:lang w:bidi="ar-SA"/>
        </w:rPr>
        <w:t xml:space="preserve"> che il Responsabile Unico del procedimento è</w:t>
      </w:r>
      <w:r>
        <w:rPr>
          <w:rFonts w:eastAsia="Times New Roman" w:cs="Trebuchet MS"/>
          <w:color w:val="000000"/>
          <w:szCs w:val="22"/>
          <w:lang w:bidi="ar-SA"/>
        </w:rPr>
        <w:t xml:space="preserve"> il sottoscritto responsabile dei servizi finanziari, dr. Santino Quagliotto;</w:t>
      </w:r>
    </w:p>
    <w:p w:rsidR="00521A6F" w:rsidRDefault="00521A6F" w:rsidP="00EE76CB">
      <w:pPr>
        <w:pStyle w:val="rtf2rtf1Standard"/>
        <w:numPr>
          <w:ilvl w:val="0"/>
          <w:numId w:val="5"/>
        </w:numPr>
        <w:spacing w:before="60"/>
        <w:ind w:left="397" w:hanging="397"/>
        <w:jc w:val="both"/>
        <w:rPr>
          <w:rFonts w:eastAsia="Times New Roman" w:cs="Trebuchet MS"/>
          <w:color w:val="000000"/>
          <w:szCs w:val="22"/>
        </w:rPr>
      </w:pPr>
      <w:r>
        <w:t>di precisare che non è dovuta alcune contribuzione al</w:t>
      </w:r>
      <w:r w:rsidRPr="00FD5678">
        <w:t>l'Autorità Nazionale Anticorruzione (ANAC)</w:t>
      </w:r>
      <w:r>
        <w:t xml:space="preserve">, in quanto il valore del contratto come sopra quantificato è inferiore a € 40.000,00, giusta deliberazione </w:t>
      </w:r>
      <w:r>
        <w:rPr>
          <w:rFonts w:eastAsia="Times New Roman" w:cs="Trebuchet MS"/>
          <w:bCs/>
          <w:color w:val="000000"/>
          <w:szCs w:val="22"/>
          <w:lang w:bidi="ar-SA"/>
        </w:rPr>
        <w:t>del Consiglio del</w:t>
      </w:r>
      <w:r w:rsidRPr="00F33B9A">
        <w:rPr>
          <w:rFonts w:eastAsia="Times New Roman" w:cs="Trebuchet MS"/>
          <w:bCs/>
          <w:color w:val="000000"/>
          <w:szCs w:val="22"/>
          <w:lang w:bidi="ar-SA"/>
        </w:rPr>
        <w:t>l’</w:t>
      </w:r>
      <w:r>
        <w:rPr>
          <w:rFonts w:eastAsia="Times New Roman" w:cs="Trebuchet MS"/>
          <w:bCs/>
          <w:color w:val="000000"/>
          <w:szCs w:val="22"/>
          <w:lang w:bidi="ar-SA"/>
        </w:rPr>
        <w:t xml:space="preserve">Autorità nazionale anticorruzione - </w:t>
      </w:r>
      <w:r w:rsidRPr="00F33B9A">
        <w:rPr>
          <w:rFonts w:eastAsia="Times New Roman" w:cs="Trebuchet MS"/>
          <w:bCs/>
          <w:color w:val="000000"/>
          <w:szCs w:val="22"/>
          <w:lang w:bidi="ar-SA"/>
        </w:rPr>
        <w:t>ANAC</w:t>
      </w:r>
      <w:r>
        <w:rPr>
          <w:rFonts w:eastAsia="Times New Roman" w:cs="Trebuchet MS"/>
          <w:bCs/>
          <w:color w:val="000000"/>
          <w:szCs w:val="22"/>
          <w:lang w:bidi="ar-SA"/>
        </w:rPr>
        <w:t xml:space="preserve"> n. 163 del 22 dicembre 2015</w:t>
      </w:r>
      <w:r>
        <w:rPr>
          <w:rFonts w:cs="Arial"/>
          <w:color w:val="000000"/>
          <w:szCs w:val="22"/>
        </w:rPr>
        <w:t>;</w:t>
      </w:r>
    </w:p>
    <w:p w:rsidR="00521A6F" w:rsidRPr="00FD5678" w:rsidRDefault="00521A6F" w:rsidP="00EE76CB">
      <w:pPr>
        <w:pStyle w:val="rtf2rtf1Standard"/>
        <w:numPr>
          <w:ilvl w:val="0"/>
          <w:numId w:val="5"/>
        </w:numPr>
        <w:spacing w:before="60"/>
        <w:ind w:left="397" w:hanging="397"/>
        <w:jc w:val="both"/>
      </w:pPr>
      <w:r w:rsidRPr="00FD5678">
        <w:rPr>
          <w:rFonts w:cs="Trebuchet MS"/>
          <w:szCs w:val="22"/>
        </w:rPr>
        <w:t>di approvare</w:t>
      </w:r>
      <w:r w:rsidRPr="00FD5678">
        <w:rPr>
          <w:rFonts w:eastAsia="Times New Roman" w:cs="Trebuchet MS"/>
          <w:color w:val="000000"/>
          <w:szCs w:val="22"/>
          <w:lang w:bidi="ar-SA"/>
        </w:rPr>
        <w:t xml:space="preserve"> </w:t>
      </w:r>
      <w:r w:rsidR="00EE76CB" w:rsidRPr="00FD5678">
        <w:rPr>
          <w:rFonts w:eastAsia="Times New Roman" w:cs="Trebuchet MS"/>
          <w:color w:val="000000"/>
          <w:szCs w:val="22"/>
          <w:lang w:bidi="ar-SA"/>
        </w:rPr>
        <w:t>l'Avviso di Gara</w:t>
      </w:r>
      <w:r w:rsidR="00EE76CB">
        <w:rPr>
          <w:rFonts w:eastAsia="Times New Roman" w:cs="Trebuchet MS"/>
          <w:color w:val="000000"/>
          <w:szCs w:val="22"/>
          <w:lang w:bidi="ar-SA"/>
        </w:rPr>
        <w:t xml:space="preserve"> (Allegato 1), </w:t>
      </w:r>
      <w:r w:rsidR="00EE76CB" w:rsidRPr="00FD5678">
        <w:rPr>
          <w:rFonts w:eastAsia="Times New Roman" w:cs="Trebuchet MS"/>
          <w:color w:val="000000"/>
          <w:szCs w:val="22"/>
          <w:lang w:bidi="ar-SA"/>
        </w:rPr>
        <w:t>il Disciplinare di Gara</w:t>
      </w:r>
      <w:r w:rsidR="00EE76CB">
        <w:rPr>
          <w:rFonts w:eastAsia="Times New Roman" w:cs="Trebuchet MS"/>
          <w:color w:val="000000"/>
          <w:szCs w:val="22"/>
          <w:lang w:bidi="ar-SA"/>
        </w:rPr>
        <w:t xml:space="preserve"> (Allegato 2),</w:t>
      </w:r>
      <w:r w:rsidR="00EE76CB" w:rsidRPr="00FD5678">
        <w:rPr>
          <w:rFonts w:eastAsia="Times New Roman" w:cs="Trebuchet MS"/>
          <w:color w:val="000000"/>
          <w:szCs w:val="22"/>
          <w:lang w:bidi="ar-SA"/>
        </w:rPr>
        <w:t xml:space="preserve"> </w:t>
      </w:r>
      <w:r w:rsidRPr="00FD5678">
        <w:rPr>
          <w:rFonts w:eastAsia="Times New Roman" w:cs="Trebuchet MS"/>
          <w:color w:val="000000"/>
          <w:szCs w:val="22"/>
          <w:lang w:bidi="ar-SA"/>
        </w:rPr>
        <w:t>il Capitolato Speciale d'Appalto</w:t>
      </w:r>
      <w:r>
        <w:rPr>
          <w:rFonts w:eastAsia="Times New Roman" w:cs="Trebuchet MS"/>
          <w:color w:val="000000"/>
          <w:szCs w:val="22"/>
          <w:lang w:bidi="ar-SA"/>
        </w:rPr>
        <w:t xml:space="preserve"> (Allegato </w:t>
      </w:r>
      <w:r w:rsidR="00EE76CB">
        <w:rPr>
          <w:rFonts w:eastAsia="Times New Roman" w:cs="Trebuchet MS"/>
          <w:color w:val="000000"/>
          <w:szCs w:val="22"/>
          <w:lang w:bidi="ar-SA"/>
        </w:rPr>
        <w:t>3</w:t>
      </w:r>
      <w:r>
        <w:rPr>
          <w:rFonts w:eastAsia="Times New Roman" w:cs="Trebuchet MS"/>
          <w:color w:val="000000"/>
          <w:szCs w:val="22"/>
          <w:lang w:bidi="ar-SA"/>
        </w:rPr>
        <w:t>)</w:t>
      </w:r>
      <w:r w:rsidR="00EE76CB">
        <w:rPr>
          <w:rFonts w:eastAsia="Times New Roman" w:cs="Trebuchet MS"/>
          <w:color w:val="000000"/>
          <w:szCs w:val="22"/>
          <w:lang w:bidi="ar-SA"/>
        </w:rPr>
        <w:t>, nonché i modelli per le dichiarazioni sostitutive di certificazione ai fini della partecipazione alla gara (Allegato A1 e Allegato A2) e per la formulazione dell’offerta tecnica (Allegato B) e dell’offerta economica (Allegato C)</w:t>
      </w:r>
      <w:r w:rsidRPr="00FD5678">
        <w:rPr>
          <w:rFonts w:cs="Trebuchet MS"/>
          <w:szCs w:val="22"/>
        </w:rPr>
        <w:t xml:space="preserve">, </w:t>
      </w:r>
      <w:r>
        <w:rPr>
          <w:rFonts w:cs="Trebuchet MS"/>
          <w:szCs w:val="22"/>
        </w:rPr>
        <w:t xml:space="preserve">per la relativa trasmissione </w:t>
      </w:r>
      <w:r w:rsidRPr="00FD5678">
        <w:rPr>
          <w:rFonts w:cs="Trebuchet MS"/>
          <w:szCs w:val="22"/>
        </w:rPr>
        <w:t>al coordinatore della Stazione Unica Appaltant</w:t>
      </w:r>
      <w:r>
        <w:rPr>
          <w:rFonts w:cs="Trebuchet MS"/>
          <w:szCs w:val="22"/>
        </w:rPr>
        <w:t>e presso al Provincia di Treviso</w:t>
      </w:r>
      <w:r w:rsidRPr="00FD5678">
        <w:rPr>
          <w:rFonts w:cs="Trebuchet MS"/>
          <w:szCs w:val="22"/>
        </w:rPr>
        <w:t xml:space="preserve"> </w:t>
      </w:r>
      <w:r>
        <w:rPr>
          <w:rFonts w:cs="Trebuchet MS"/>
          <w:szCs w:val="22"/>
        </w:rPr>
        <w:t>ai fini del</w:t>
      </w:r>
      <w:r w:rsidRPr="00FD5678">
        <w:rPr>
          <w:rFonts w:cs="Trebuchet MS"/>
          <w:szCs w:val="22"/>
        </w:rPr>
        <w:t>l’avvio delle procedure di acquisizione del servizio</w:t>
      </w:r>
      <w:r>
        <w:rPr>
          <w:rFonts w:cs="Trebuchet MS"/>
          <w:szCs w:val="22"/>
        </w:rPr>
        <w:t xml:space="preserve">, dandosi atto che </w:t>
      </w:r>
      <w:r w:rsidRPr="00FD5678">
        <w:rPr>
          <w:rFonts w:cs="Trebuchet MS"/>
          <w:szCs w:val="22"/>
        </w:rPr>
        <w:t xml:space="preserve">le modalità di svolgimento della gara e le successive condizioni </w:t>
      </w:r>
      <w:r w:rsidRPr="00FD5678">
        <w:rPr>
          <w:rFonts w:cs="Trebuchet MS"/>
          <w:szCs w:val="22"/>
        </w:rPr>
        <w:lastRenderedPageBreak/>
        <w:t xml:space="preserve">di </w:t>
      </w:r>
      <w:r w:rsidRPr="00FD5678">
        <w:rPr>
          <w:rFonts w:eastAsia="Times New Roman" w:cs="Trebuchet MS"/>
          <w:szCs w:val="22"/>
        </w:rPr>
        <w:t xml:space="preserve">prestazione del servizio sono definite </w:t>
      </w:r>
      <w:r>
        <w:rPr>
          <w:rFonts w:eastAsia="Times New Roman" w:cs="Trebuchet MS"/>
          <w:szCs w:val="22"/>
        </w:rPr>
        <w:t>nei predetti documenti</w:t>
      </w:r>
      <w:r w:rsidRPr="00FD5678">
        <w:rPr>
          <w:rFonts w:cs="Trebuchet MS"/>
          <w:szCs w:val="22"/>
        </w:rPr>
        <w:t>;</w:t>
      </w:r>
    </w:p>
    <w:p w:rsidR="00521A6F" w:rsidRPr="00FD5678" w:rsidRDefault="00521A6F" w:rsidP="00EE76CB">
      <w:pPr>
        <w:pStyle w:val="rtf2rtf1Standard"/>
        <w:numPr>
          <w:ilvl w:val="0"/>
          <w:numId w:val="5"/>
        </w:numPr>
        <w:spacing w:before="60"/>
        <w:ind w:left="397" w:hanging="397"/>
        <w:jc w:val="both"/>
        <w:rPr>
          <w:rFonts w:cs="Trebuchet MS"/>
          <w:szCs w:val="22"/>
        </w:rPr>
      </w:pPr>
      <w:r w:rsidRPr="00FD5678">
        <w:rPr>
          <w:rFonts w:cs="Trebuchet MS"/>
          <w:szCs w:val="22"/>
        </w:rPr>
        <w:t xml:space="preserve">di </w:t>
      </w:r>
      <w:r>
        <w:rPr>
          <w:rFonts w:cs="Trebuchet MS"/>
          <w:szCs w:val="22"/>
        </w:rPr>
        <w:t xml:space="preserve">dare atto che </w:t>
      </w:r>
      <w:r w:rsidRPr="00FD5678">
        <w:rPr>
          <w:rFonts w:cs="Trebuchet MS"/>
          <w:szCs w:val="22"/>
        </w:rPr>
        <w:t xml:space="preserve">la valutazione delle offerte </w:t>
      </w:r>
      <w:r>
        <w:rPr>
          <w:rFonts w:cs="Trebuchet MS"/>
          <w:szCs w:val="22"/>
        </w:rPr>
        <w:t xml:space="preserve">avverrà </w:t>
      </w:r>
      <w:r w:rsidRPr="00FD5678">
        <w:rPr>
          <w:rFonts w:cs="Trebuchet MS"/>
          <w:szCs w:val="22"/>
        </w:rPr>
        <w:t>secondo il criterio dell'offerta economicamente più vantaggiosa, in base ai criteri i</w:t>
      </w:r>
      <w:r>
        <w:rPr>
          <w:rFonts w:cs="Trebuchet MS"/>
          <w:szCs w:val="22"/>
        </w:rPr>
        <w:t>ndicati nel Disciplinare di gara</w:t>
      </w:r>
      <w:r w:rsidRPr="00FD5678">
        <w:rPr>
          <w:rFonts w:cs="Trebuchet MS"/>
          <w:szCs w:val="22"/>
        </w:rPr>
        <w:t>;</w:t>
      </w:r>
    </w:p>
    <w:p w:rsidR="00521A6F" w:rsidRPr="008D2B13" w:rsidRDefault="00521A6F" w:rsidP="00EE76CB">
      <w:pPr>
        <w:pStyle w:val="rtf2rtf1Standard"/>
        <w:widowControl/>
        <w:numPr>
          <w:ilvl w:val="0"/>
          <w:numId w:val="5"/>
        </w:numPr>
        <w:spacing w:before="60"/>
        <w:ind w:left="397" w:hanging="397"/>
        <w:jc w:val="both"/>
      </w:pPr>
      <w:r w:rsidRPr="00FD5678">
        <w:rPr>
          <w:rFonts w:eastAsia="Times New Roman" w:cs="Trebuchet MS"/>
          <w:color w:val="000000"/>
          <w:szCs w:val="22"/>
          <w:lang w:bidi="ar-SA"/>
        </w:rPr>
        <w:t xml:space="preserve">di </w:t>
      </w:r>
      <w:r>
        <w:rPr>
          <w:rFonts w:eastAsia="Times New Roman" w:cs="Trebuchet MS"/>
          <w:color w:val="000000"/>
          <w:szCs w:val="22"/>
          <w:lang w:bidi="ar-SA"/>
        </w:rPr>
        <w:t xml:space="preserve">stabilire che si </w:t>
      </w:r>
      <w:r w:rsidRPr="00FD5678">
        <w:rPr>
          <w:rFonts w:eastAsia="Times New Roman" w:cs="Trebuchet MS"/>
          <w:color w:val="000000"/>
          <w:szCs w:val="22"/>
          <w:lang w:bidi="ar-SA"/>
        </w:rPr>
        <w:t>proceder</w:t>
      </w:r>
      <w:r>
        <w:rPr>
          <w:rFonts w:eastAsia="Times New Roman" w:cs="Trebuchet MS"/>
          <w:color w:val="000000"/>
          <w:szCs w:val="22"/>
          <w:lang w:bidi="ar-SA"/>
        </w:rPr>
        <w:t>à</w:t>
      </w:r>
      <w:r w:rsidRPr="00FD5678">
        <w:rPr>
          <w:rFonts w:eastAsia="Times New Roman" w:cs="Trebuchet MS"/>
          <w:color w:val="000000"/>
          <w:szCs w:val="22"/>
          <w:lang w:bidi="ar-SA"/>
        </w:rPr>
        <w:t xml:space="preserve"> alla aggiudicazione anche in presenza di una sola offerta</w:t>
      </w:r>
      <w:r>
        <w:rPr>
          <w:rFonts w:eastAsia="Times New Roman" w:cs="Trebuchet MS"/>
          <w:color w:val="000000"/>
          <w:szCs w:val="22"/>
          <w:lang w:bidi="ar-SA"/>
        </w:rPr>
        <w:t>,</w:t>
      </w:r>
      <w:r w:rsidRPr="00FD5678">
        <w:rPr>
          <w:rFonts w:eastAsia="Times New Roman" w:cs="Trebuchet MS"/>
          <w:color w:val="000000"/>
          <w:szCs w:val="22"/>
          <w:lang w:bidi="ar-SA"/>
        </w:rPr>
        <w:t xml:space="preserve"> purché valida e ritenuta congrua a insindacabile giudizio dell'</w:t>
      </w:r>
      <w:r>
        <w:rPr>
          <w:rFonts w:eastAsia="Times New Roman" w:cs="Trebuchet MS"/>
          <w:color w:val="000000"/>
          <w:szCs w:val="22"/>
          <w:lang w:bidi="ar-SA"/>
        </w:rPr>
        <w:t>a</w:t>
      </w:r>
      <w:r w:rsidRPr="00FD5678">
        <w:rPr>
          <w:rFonts w:eastAsia="Times New Roman" w:cs="Trebuchet MS"/>
          <w:color w:val="000000"/>
          <w:szCs w:val="22"/>
          <w:lang w:bidi="ar-SA"/>
        </w:rPr>
        <w:t>mministrazione, riservandosi la facoltà, a proprio insindacabile giudizio, di non procedere all'aggiudicazione</w:t>
      </w:r>
      <w:r>
        <w:rPr>
          <w:rFonts w:eastAsia="Times New Roman" w:cs="Trebuchet MS"/>
          <w:color w:val="000000"/>
          <w:szCs w:val="22"/>
          <w:lang w:bidi="ar-SA"/>
        </w:rPr>
        <w:t>,</w:t>
      </w:r>
      <w:r w:rsidRPr="00FD5678">
        <w:rPr>
          <w:rFonts w:eastAsia="Times New Roman" w:cs="Trebuchet MS"/>
          <w:color w:val="000000"/>
          <w:szCs w:val="22"/>
          <w:lang w:bidi="ar-SA"/>
        </w:rPr>
        <w:t xml:space="preserve"> qualunque sia il numero delle offerte pervenute, per rilevan</w:t>
      </w:r>
      <w:r>
        <w:rPr>
          <w:rFonts w:eastAsia="Times New Roman" w:cs="Trebuchet MS"/>
          <w:color w:val="000000"/>
          <w:szCs w:val="22"/>
          <w:lang w:bidi="ar-SA"/>
        </w:rPr>
        <w:t>ti motivi di interesse pubblico</w:t>
      </w:r>
      <w:r w:rsidRPr="00FD5678">
        <w:rPr>
          <w:rFonts w:eastAsia="Times New Roman" w:cs="Trebuchet MS"/>
          <w:color w:val="000000"/>
          <w:szCs w:val="22"/>
          <w:lang w:bidi="ar-SA"/>
        </w:rPr>
        <w:t xml:space="preserve"> (per irregolarità formali, opportunità, convenienza, esigenza di bilancio, ecc) senza che ciò comporti pretesa alcuna da parte dei concorrenti)</w:t>
      </w:r>
      <w:r>
        <w:rPr>
          <w:rFonts w:eastAsia="Times New Roman" w:cs="Trebuchet MS"/>
          <w:color w:val="000000"/>
          <w:szCs w:val="22"/>
          <w:lang w:bidi="ar-SA"/>
        </w:rPr>
        <w:t>;</w:t>
      </w:r>
    </w:p>
    <w:p w:rsidR="00521A6F" w:rsidRPr="008D2B13" w:rsidRDefault="00521A6F" w:rsidP="00EE76CB">
      <w:pPr>
        <w:pStyle w:val="rtf2rtf1Standard"/>
        <w:numPr>
          <w:ilvl w:val="0"/>
          <w:numId w:val="5"/>
        </w:numPr>
        <w:spacing w:before="60"/>
        <w:ind w:left="397" w:hanging="397"/>
        <w:jc w:val="both"/>
      </w:pPr>
      <w:r w:rsidRPr="00FD5678">
        <w:rPr>
          <w:szCs w:val="22"/>
        </w:rPr>
        <w:t xml:space="preserve">di dare </w:t>
      </w:r>
      <w:r>
        <w:rPr>
          <w:szCs w:val="22"/>
        </w:rPr>
        <w:t xml:space="preserve">infine </w:t>
      </w:r>
      <w:r w:rsidRPr="00FD5678">
        <w:rPr>
          <w:szCs w:val="22"/>
        </w:rPr>
        <w:t>atto</w:t>
      </w:r>
      <w:r>
        <w:rPr>
          <w:szCs w:val="22"/>
        </w:rPr>
        <w:t>, con riguardo a quanto previsto dall’art. 192 del D.Lgs. 267/2000:</w:t>
      </w:r>
    </w:p>
    <w:p w:rsidR="00521A6F" w:rsidRPr="00521155" w:rsidRDefault="00521A6F" w:rsidP="00521A6F">
      <w:pPr>
        <w:pStyle w:val="rtf2rtf1Standard"/>
        <w:numPr>
          <w:ilvl w:val="0"/>
          <w:numId w:val="6"/>
        </w:numPr>
        <w:tabs>
          <w:tab w:val="left" w:pos="0"/>
        </w:tabs>
        <w:ind w:left="737" w:hanging="340"/>
        <w:jc w:val="both"/>
        <w:rPr>
          <w:rFonts w:cs="Times New Roman"/>
          <w:szCs w:val="16"/>
        </w:rPr>
      </w:pPr>
      <w:r>
        <w:rPr>
          <w:rFonts w:cs="Times New Roman"/>
          <w:szCs w:val="16"/>
        </w:rPr>
        <w:t>che il fine che si intende perseguire con il contratto è la concessione de</w:t>
      </w:r>
      <w:r w:rsidRPr="00FD5678">
        <w:rPr>
          <w:rFonts w:eastAsia="Times New Roman" w:cs="Arial"/>
          <w:color w:val="000000"/>
          <w:szCs w:val="22"/>
        </w:rPr>
        <w:t xml:space="preserve">l </w:t>
      </w:r>
      <w:r>
        <w:rPr>
          <w:rFonts w:eastAsia="Times New Roman" w:cs="Arial"/>
          <w:color w:val="000000"/>
          <w:szCs w:val="22"/>
        </w:rPr>
        <w:t xml:space="preserve">servizio di tesoreria comunale di cui al Titolo V </w:t>
      </w:r>
      <w:r>
        <w:t>d</w:t>
      </w:r>
      <w:r w:rsidRPr="0074314C">
        <w:t>el</w:t>
      </w:r>
      <w:r>
        <w:t xml:space="preserve"> Tuel</w:t>
      </w:r>
      <w:r>
        <w:rPr>
          <w:rFonts w:eastAsia="Times New Roman" w:cs="Arial"/>
          <w:color w:val="000000"/>
          <w:szCs w:val="22"/>
        </w:rPr>
        <w:t>;</w:t>
      </w:r>
      <w:r w:rsidRPr="00FD5678">
        <w:rPr>
          <w:rFonts w:eastAsia="Times New Roman" w:cs="Arial"/>
          <w:color w:val="000000"/>
          <w:szCs w:val="22"/>
        </w:rPr>
        <w:t xml:space="preserve"> </w:t>
      </w:r>
    </w:p>
    <w:p w:rsidR="00521A6F" w:rsidRPr="00947983" w:rsidRDefault="00521A6F" w:rsidP="00521A6F">
      <w:pPr>
        <w:pStyle w:val="rtf2rtf1Standard"/>
        <w:numPr>
          <w:ilvl w:val="0"/>
          <w:numId w:val="6"/>
        </w:numPr>
        <w:tabs>
          <w:tab w:val="left" w:pos="0"/>
        </w:tabs>
        <w:ind w:left="737" w:hanging="340"/>
        <w:jc w:val="both"/>
        <w:rPr>
          <w:rFonts w:cs="Times New Roman"/>
          <w:szCs w:val="16"/>
        </w:rPr>
      </w:pPr>
      <w:r w:rsidRPr="00FD5678">
        <w:rPr>
          <w:rFonts w:eastAsia="Times New Roman" w:cs="Arial"/>
          <w:szCs w:val="22"/>
        </w:rPr>
        <w:t xml:space="preserve">che il contratto verrà stipulato in </w:t>
      </w:r>
      <w:r>
        <w:rPr>
          <w:rFonts w:eastAsia="Times New Roman" w:cs="Arial"/>
          <w:szCs w:val="22"/>
        </w:rPr>
        <w:t xml:space="preserve">modalità elettronica in </w:t>
      </w:r>
      <w:r w:rsidRPr="00FD5678">
        <w:rPr>
          <w:rFonts w:eastAsia="Times New Roman" w:cs="Arial"/>
          <w:szCs w:val="22"/>
        </w:rPr>
        <w:t xml:space="preserve">forma di </w:t>
      </w:r>
      <w:r>
        <w:rPr>
          <w:rFonts w:eastAsia="Times New Roman" w:cs="Arial"/>
          <w:szCs w:val="22"/>
        </w:rPr>
        <w:t>atto pubblico amministrativo con rogito del segretario comunale;</w:t>
      </w:r>
      <w:r w:rsidRPr="00FD5678">
        <w:rPr>
          <w:rFonts w:eastAsia="Times New Roman" w:cs="Arial"/>
          <w:szCs w:val="22"/>
        </w:rPr>
        <w:t xml:space="preserve"> </w:t>
      </w:r>
    </w:p>
    <w:p w:rsidR="00521A6F" w:rsidRPr="00521155" w:rsidRDefault="00521A6F" w:rsidP="00521A6F">
      <w:pPr>
        <w:pStyle w:val="rtf2rtf1Standard"/>
        <w:numPr>
          <w:ilvl w:val="0"/>
          <w:numId w:val="6"/>
        </w:numPr>
        <w:tabs>
          <w:tab w:val="left" w:pos="0"/>
        </w:tabs>
        <w:ind w:left="737" w:hanging="340"/>
        <w:jc w:val="both"/>
        <w:rPr>
          <w:rFonts w:cs="Times New Roman"/>
          <w:szCs w:val="16"/>
        </w:rPr>
      </w:pPr>
      <w:r w:rsidRPr="00FD5678">
        <w:rPr>
          <w:rFonts w:eastAsia="Times New Roman" w:cs="Arial"/>
          <w:szCs w:val="22"/>
        </w:rPr>
        <w:t xml:space="preserve">che le clausole ritenute essenziali sono contenute nel capitolato speciale d’appalto allegato sub </w:t>
      </w:r>
      <w:r>
        <w:rPr>
          <w:rFonts w:eastAsia="Times New Roman" w:cs="Arial"/>
          <w:szCs w:val="22"/>
        </w:rPr>
        <w:t>A</w:t>
      </w:r>
      <w:r w:rsidRPr="00FD5678">
        <w:rPr>
          <w:rFonts w:eastAsia="Times New Roman" w:cs="Arial"/>
          <w:szCs w:val="22"/>
        </w:rPr>
        <w:t>) alla presente determinazione</w:t>
      </w:r>
      <w:r>
        <w:rPr>
          <w:rFonts w:eastAsia="Times New Roman" w:cs="Arial"/>
          <w:szCs w:val="22"/>
        </w:rPr>
        <w:t xml:space="preserve"> e nello schema di convenzione approvato con deliberazione del Consiglio comunale n. 20/2016, più sopra richiamata</w:t>
      </w:r>
      <w:r w:rsidRPr="00FD5678">
        <w:rPr>
          <w:rFonts w:eastAsia="Times New Roman" w:cs="Arial"/>
          <w:szCs w:val="22"/>
        </w:rPr>
        <w:t>;</w:t>
      </w:r>
    </w:p>
    <w:p w:rsidR="00521A6F" w:rsidRPr="006A11A3" w:rsidRDefault="00521A6F" w:rsidP="00521A6F">
      <w:pPr>
        <w:pStyle w:val="rtf2rtf1Standard"/>
        <w:numPr>
          <w:ilvl w:val="0"/>
          <w:numId w:val="6"/>
        </w:numPr>
        <w:tabs>
          <w:tab w:val="left" w:pos="0"/>
        </w:tabs>
        <w:ind w:left="737" w:hanging="340"/>
        <w:jc w:val="both"/>
        <w:rPr>
          <w:rFonts w:cs="Times New Roman"/>
          <w:szCs w:val="16"/>
        </w:rPr>
      </w:pPr>
      <w:r w:rsidRPr="00A267DB">
        <w:rPr>
          <w:rFonts w:eastAsia="Times New Roman" w:cs="Arial"/>
          <w:szCs w:val="22"/>
        </w:rPr>
        <w:t xml:space="preserve">che la modalità di scelta del contraente è l’affidamento mediante procedura </w:t>
      </w:r>
      <w:r>
        <w:rPr>
          <w:rFonts w:eastAsia="Times New Roman" w:cs="Arial"/>
          <w:szCs w:val="22"/>
        </w:rPr>
        <w:t>negoziata con pubblicazione del bando di gara con le modalità indicate in parte narrativa.</w:t>
      </w:r>
    </w:p>
    <w:p w:rsidR="00EE0BF0" w:rsidRDefault="00EE0BF0">
      <w:pPr>
        <w:rPr>
          <w:sz w:val="20"/>
          <w:szCs w:val="20"/>
        </w:rPr>
      </w:pPr>
    </w:p>
    <w:p w:rsidR="00EE0BF0" w:rsidRDefault="00EE0BF0">
      <w:pPr>
        <w:rPr>
          <w:sz w:val="20"/>
          <w:szCs w:val="20"/>
        </w:rPr>
      </w:pPr>
    </w:p>
    <w:p w:rsidR="00EE0BF0" w:rsidRDefault="00EE0BF0">
      <w:pPr>
        <w:rPr>
          <w:i/>
          <w:iCs/>
        </w:rPr>
      </w:pPr>
      <w:r>
        <w:rPr>
          <w:i/>
          <w:iCs/>
        </w:rPr>
        <w:t xml:space="preserve">Valdobbiadene, </w:t>
      </w:r>
      <w:r>
        <w:t>18-04-2016</w:t>
      </w:r>
    </w:p>
    <w:p w:rsidR="00EE0BF0" w:rsidRDefault="00EE0BF0"/>
    <w:p w:rsidR="00EE0BF0" w:rsidRDefault="00EE0BF0">
      <w:pPr>
        <w:tabs>
          <w:tab w:val="left" w:pos="8575"/>
        </w:tabs>
        <w:ind w:left="4253"/>
        <w:jc w:val="center"/>
      </w:pPr>
      <w:r>
        <w:t>Il Responsabile del Servizio</w:t>
      </w:r>
    </w:p>
    <w:p w:rsidR="00EE0BF0" w:rsidRPr="00943F44" w:rsidRDefault="00943F44">
      <w:pPr>
        <w:ind w:left="4253"/>
        <w:jc w:val="center"/>
        <w:rPr>
          <w:i/>
          <w:iCs/>
        </w:rPr>
      </w:pPr>
      <w:r w:rsidRPr="00943F44">
        <w:rPr>
          <w:i/>
          <w:iCs/>
        </w:rPr>
        <w:t>f.to</w:t>
      </w:r>
      <w:r>
        <w:rPr>
          <w:iCs/>
        </w:rPr>
        <w:t xml:space="preserve"> </w:t>
      </w:r>
      <w:r w:rsidRPr="00943F44">
        <w:rPr>
          <w:i/>
          <w:iCs/>
        </w:rPr>
        <w:t>Santino Quagliotto</w:t>
      </w:r>
    </w:p>
    <w:p w:rsidR="00EE0BF0" w:rsidRDefault="00EE0BF0">
      <w:pPr>
        <w:rPr>
          <w:iCs/>
          <w:szCs w:val="16"/>
        </w:rPr>
      </w:pPr>
    </w:p>
    <w:sectPr w:rsidR="00EE0BF0" w:rsidSect="00866481">
      <w:footerReference w:type="default" r:id="rId7"/>
      <w:headerReference w:type="first" r:id="rId8"/>
      <w:footerReference w:type="first" r:id="rId9"/>
      <w:pgSz w:w="11907" w:h="16840" w:code="9"/>
      <w:pgMar w:top="851" w:right="1418" w:bottom="1134" w:left="1418" w:header="709" w:footer="709" w:gutter="0"/>
      <w:pgNumType w:start="1"/>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746" w:rsidRDefault="00105746">
      <w:r>
        <w:separator/>
      </w:r>
    </w:p>
  </w:endnote>
  <w:endnote w:type="continuationSeparator" w:id="1">
    <w:p w:rsidR="00105746" w:rsidRDefault="0010574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Symbol">
    <w:altName w:val="SymbolProp BT"/>
    <w:panose1 w:val="05050102010706020507"/>
    <w:charset w:val="02"/>
    <w:family w:val="roman"/>
    <w:pitch w:val="variable"/>
    <w:sig w:usb0="00000003" w:usb1="10000000" w:usb2="00000000" w:usb3="00000000" w:csb0="80000001"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estige 12cpi">
    <w:panose1 w:val="00000000000000000000"/>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NewPSMT">
    <w:altName w:val="Arial"/>
    <w:panose1 w:val="00000000000000000000"/>
    <w:charset w:val="00"/>
    <w:family w:val="moder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938"/>
      <w:docPartObj>
        <w:docPartGallery w:val="Page Numbers (Bottom of Page)"/>
        <w:docPartUnique/>
      </w:docPartObj>
    </w:sdtPr>
    <w:sdtContent>
      <w:p w:rsidR="00866481" w:rsidRDefault="00866481">
        <w:pPr>
          <w:pStyle w:val="Pidipagina"/>
          <w:jc w:val="center"/>
        </w:pPr>
        <w:fldSimple w:instr=" PAGE   \* MERGEFORMAT ">
          <w:r>
            <w:rPr>
              <w:noProof/>
            </w:rPr>
            <w:t>6</w:t>
          </w:r>
        </w:fldSimple>
      </w:p>
    </w:sdtContent>
  </w:sdt>
  <w:p w:rsidR="00866481" w:rsidRDefault="0086648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5E" w:rsidRDefault="00027A5E">
    <w:pPr>
      <w:pStyle w:val="Pidipagina"/>
      <w:framePr w:wrap="auto" w:vAnchor="text" w:hAnchor="margin" w:xAlign="center" w:y="1"/>
      <w:rPr>
        <w:rStyle w:val="Numeropagina"/>
      </w:rPr>
    </w:pPr>
  </w:p>
  <w:p w:rsidR="00027A5E" w:rsidRDefault="00866481" w:rsidP="00866481">
    <w:pPr>
      <w:tabs>
        <w:tab w:val="right" w:pos="9072"/>
      </w:tabs>
      <w:rPr>
        <w:i/>
        <w:iCs/>
        <w:sz w:val="16"/>
        <w:szCs w:val="16"/>
      </w:rPr>
    </w:pPr>
    <w:r>
      <w:rPr>
        <w:i/>
        <w:iCs/>
        <w:sz w:val="16"/>
        <w:szCs w:val="16"/>
      </w:rPr>
      <w:t>Preliminare n. 138 del 18-04-2016</w:t>
    </w:r>
    <w:r>
      <w:rPr>
        <w:i/>
        <w:iCs/>
        <w:sz w:val="16"/>
        <w:szCs w:val="16"/>
      </w:rPr>
      <w:tab/>
      <w:t>Registro particolare Determinazione n. 122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746" w:rsidRDefault="00105746">
      <w:r>
        <w:separator/>
      </w:r>
    </w:p>
  </w:footnote>
  <w:footnote w:type="continuationSeparator" w:id="1">
    <w:p w:rsidR="00105746" w:rsidRDefault="00105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5E" w:rsidRDefault="00027A5E">
    <w:pPr>
      <w:pStyle w:val="Intestazion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04A"/>
    <w:multiLevelType w:val="multilevel"/>
    <w:tmpl w:val="2798447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12CE2685"/>
    <w:multiLevelType w:val="multilevel"/>
    <w:tmpl w:val="E75C570A"/>
    <w:styleLink w:val="WW8Num3"/>
    <w:lvl w:ilvl="0">
      <w:start w:val="1"/>
      <w:numFmt w:val="decimal"/>
      <w:lvlText w:val="%1."/>
      <w:lvlJc w:val="left"/>
      <w:rPr>
        <w:rFonts w:ascii="Times New Roman" w:eastAsia="Times New Roman" w:hAnsi="Times New Roman" w:cs="Times New Roman"/>
        <w:color w:val="000000"/>
        <w:kern w:val="3"/>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21C945D1"/>
    <w:multiLevelType w:val="hybridMultilevel"/>
    <w:tmpl w:val="36C695B0"/>
    <w:lvl w:ilvl="0" w:tplc="D2FED2A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6611D7B"/>
    <w:multiLevelType w:val="hybridMultilevel"/>
    <w:tmpl w:val="3C12E3BE"/>
    <w:lvl w:ilvl="0" w:tplc="8DD46FE2">
      <w:start w:val="1"/>
      <w:numFmt w:val="bullet"/>
      <w:lvlText w:val="⁯"/>
      <w:lvlJc w:val="left"/>
      <w:pPr>
        <w:tabs>
          <w:tab w:val="num" w:pos="284"/>
        </w:tabs>
        <w:ind w:left="284" w:hanging="284"/>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40343A41"/>
    <w:multiLevelType w:val="hybridMultilevel"/>
    <w:tmpl w:val="FA52D6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A562133"/>
    <w:multiLevelType w:val="hybridMultilevel"/>
    <w:tmpl w:val="AFC0D010"/>
    <w:lvl w:ilvl="0" w:tplc="A356BA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num>
  <w:num w:numId="3">
    <w:abstractNumId w:val="1"/>
  </w:num>
  <w:num w:numId="4">
    <w:abstractNumId w:val="1"/>
    <w:lvlOverride w:ilvl="0">
      <w:startOverride w:val="1"/>
    </w:lvlOverride>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bordersDoNotSurroundHeader/>
  <w:bordersDoNotSurroundFooter/>
  <w:stylePaneFormatFilter w:val="3F01"/>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7A009D"/>
    <w:rsid w:val="00021565"/>
    <w:rsid w:val="00024380"/>
    <w:rsid w:val="00027A5E"/>
    <w:rsid w:val="000428AE"/>
    <w:rsid w:val="000465D7"/>
    <w:rsid w:val="00050530"/>
    <w:rsid w:val="00060656"/>
    <w:rsid w:val="00073A2B"/>
    <w:rsid w:val="00075DE4"/>
    <w:rsid w:val="000A4264"/>
    <w:rsid w:val="000B7693"/>
    <w:rsid w:val="000C5970"/>
    <w:rsid w:val="000E6158"/>
    <w:rsid w:val="000E7D46"/>
    <w:rsid w:val="00105746"/>
    <w:rsid w:val="00132FF8"/>
    <w:rsid w:val="0014357D"/>
    <w:rsid w:val="00157830"/>
    <w:rsid w:val="001810E0"/>
    <w:rsid w:val="00197D37"/>
    <w:rsid w:val="001B5F0F"/>
    <w:rsid w:val="001B64F5"/>
    <w:rsid w:val="00203E12"/>
    <w:rsid w:val="00214F10"/>
    <w:rsid w:val="002438FF"/>
    <w:rsid w:val="00244706"/>
    <w:rsid w:val="00252D63"/>
    <w:rsid w:val="00284F16"/>
    <w:rsid w:val="002A0CA3"/>
    <w:rsid w:val="002B13EF"/>
    <w:rsid w:val="002E5FED"/>
    <w:rsid w:val="00312A9D"/>
    <w:rsid w:val="00326928"/>
    <w:rsid w:val="00327802"/>
    <w:rsid w:val="003403A0"/>
    <w:rsid w:val="0034342A"/>
    <w:rsid w:val="003901B7"/>
    <w:rsid w:val="003D4881"/>
    <w:rsid w:val="00421F11"/>
    <w:rsid w:val="00430D39"/>
    <w:rsid w:val="00463D42"/>
    <w:rsid w:val="004657A4"/>
    <w:rsid w:val="00472569"/>
    <w:rsid w:val="00481EB5"/>
    <w:rsid w:val="00492CC8"/>
    <w:rsid w:val="00495482"/>
    <w:rsid w:val="004E4F3E"/>
    <w:rsid w:val="0050742A"/>
    <w:rsid w:val="00517DDD"/>
    <w:rsid w:val="005208C6"/>
    <w:rsid w:val="00521155"/>
    <w:rsid w:val="00521A6F"/>
    <w:rsid w:val="00521CE2"/>
    <w:rsid w:val="00532BD6"/>
    <w:rsid w:val="0054110A"/>
    <w:rsid w:val="00541611"/>
    <w:rsid w:val="005B4AE4"/>
    <w:rsid w:val="005B58CD"/>
    <w:rsid w:val="005B7B17"/>
    <w:rsid w:val="006021EB"/>
    <w:rsid w:val="00611CD6"/>
    <w:rsid w:val="00634E55"/>
    <w:rsid w:val="0065071A"/>
    <w:rsid w:val="00685C23"/>
    <w:rsid w:val="00697D54"/>
    <w:rsid w:val="006A0C88"/>
    <w:rsid w:val="006A11A3"/>
    <w:rsid w:val="006D1416"/>
    <w:rsid w:val="006E0BBB"/>
    <w:rsid w:val="00721C3E"/>
    <w:rsid w:val="0074314C"/>
    <w:rsid w:val="00746FE5"/>
    <w:rsid w:val="0075448A"/>
    <w:rsid w:val="007A009D"/>
    <w:rsid w:val="007A7F02"/>
    <w:rsid w:val="007C4F41"/>
    <w:rsid w:val="007E289D"/>
    <w:rsid w:val="008012F4"/>
    <w:rsid w:val="00803E42"/>
    <w:rsid w:val="0082188F"/>
    <w:rsid w:val="00866481"/>
    <w:rsid w:val="008A3670"/>
    <w:rsid w:val="008D1093"/>
    <w:rsid w:val="008D2B13"/>
    <w:rsid w:val="008D6CB2"/>
    <w:rsid w:val="008D7144"/>
    <w:rsid w:val="00930483"/>
    <w:rsid w:val="00943F44"/>
    <w:rsid w:val="00947983"/>
    <w:rsid w:val="00951190"/>
    <w:rsid w:val="00A02CFB"/>
    <w:rsid w:val="00A1488E"/>
    <w:rsid w:val="00A267DB"/>
    <w:rsid w:val="00A30C97"/>
    <w:rsid w:val="00A734E4"/>
    <w:rsid w:val="00A74AD4"/>
    <w:rsid w:val="00A85B2C"/>
    <w:rsid w:val="00A91497"/>
    <w:rsid w:val="00AB79B1"/>
    <w:rsid w:val="00AC079F"/>
    <w:rsid w:val="00AD5FA5"/>
    <w:rsid w:val="00AF4C5C"/>
    <w:rsid w:val="00B10029"/>
    <w:rsid w:val="00B41EB1"/>
    <w:rsid w:val="00B6780A"/>
    <w:rsid w:val="00B75B14"/>
    <w:rsid w:val="00B85CDB"/>
    <w:rsid w:val="00BC4DFE"/>
    <w:rsid w:val="00BF4C65"/>
    <w:rsid w:val="00C114D0"/>
    <w:rsid w:val="00C23707"/>
    <w:rsid w:val="00C23766"/>
    <w:rsid w:val="00C32024"/>
    <w:rsid w:val="00C5331A"/>
    <w:rsid w:val="00C84C82"/>
    <w:rsid w:val="00CA4745"/>
    <w:rsid w:val="00CB06E1"/>
    <w:rsid w:val="00CB7054"/>
    <w:rsid w:val="00CD3848"/>
    <w:rsid w:val="00D07CC4"/>
    <w:rsid w:val="00D51E33"/>
    <w:rsid w:val="00D615FD"/>
    <w:rsid w:val="00D6339E"/>
    <w:rsid w:val="00D77500"/>
    <w:rsid w:val="00D8431E"/>
    <w:rsid w:val="00E47FC9"/>
    <w:rsid w:val="00E54883"/>
    <w:rsid w:val="00E64A7B"/>
    <w:rsid w:val="00E70CC5"/>
    <w:rsid w:val="00EB28A1"/>
    <w:rsid w:val="00EC1A00"/>
    <w:rsid w:val="00ED2364"/>
    <w:rsid w:val="00EE0BF0"/>
    <w:rsid w:val="00EE76CB"/>
    <w:rsid w:val="00F045B7"/>
    <w:rsid w:val="00F0734D"/>
    <w:rsid w:val="00F23D22"/>
    <w:rsid w:val="00F3100A"/>
    <w:rsid w:val="00F33B9A"/>
    <w:rsid w:val="00F515D3"/>
    <w:rsid w:val="00FB3A12"/>
    <w:rsid w:val="00FB3C8B"/>
    <w:rsid w:val="00FC25D8"/>
    <w:rsid w:val="00FC4B46"/>
    <w:rsid w:val="00FD480F"/>
    <w:rsid w:val="00FD5678"/>
    <w:rsid w:val="00FE0CE4"/>
    <w:rsid w:val="00FF467D"/>
    <w:rsid w:val="00FF5A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utoSpaceDE w:val="0"/>
      <w:autoSpaceDN w:val="0"/>
      <w:adjustRightInd w:val="0"/>
      <w:spacing w:after="0" w:line="240" w:lineRule="auto"/>
    </w:pPr>
    <w:rPr>
      <w:sz w:val="24"/>
      <w:szCs w:val="24"/>
    </w:rPr>
  </w:style>
  <w:style w:type="paragraph" w:styleId="Titolo1">
    <w:name w:val="heading 1"/>
    <w:basedOn w:val="Normale"/>
    <w:next w:val="Normale"/>
    <w:link w:val="Titolo1Carattere"/>
    <w:uiPriority w:val="99"/>
    <w:qFormat/>
    <w:pPr>
      <w:keepNext/>
      <w:jc w:val="center"/>
      <w:outlineLvl w:val="0"/>
    </w:pPr>
    <w:rPr>
      <w:b/>
      <w:bCs/>
      <w:sz w:val="64"/>
      <w:szCs w:val="64"/>
    </w:rPr>
  </w:style>
  <w:style w:type="paragraph" w:styleId="Titolo2">
    <w:name w:val="heading 2"/>
    <w:basedOn w:val="Normale"/>
    <w:next w:val="Normale"/>
    <w:link w:val="Titolo2Carattere"/>
    <w:uiPriority w:val="99"/>
    <w:qFormat/>
    <w:pPr>
      <w:keepNext/>
      <w:framePr w:w="2224" w:h="305" w:hSpace="141" w:wrap="auto" w:vAnchor="text" w:hAnchor="page" w:x="7940" w:y="-109"/>
      <w:pBdr>
        <w:top w:val="single" w:sz="6" w:space="1" w:color="auto"/>
        <w:left w:val="single" w:sz="6" w:space="1" w:color="auto"/>
        <w:bottom w:val="single" w:sz="6" w:space="1" w:color="auto"/>
        <w:right w:val="single" w:sz="6" w:space="1" w:color="auto"/>
      </w:pBdr>
      <w:shd w:val="pct10" w:color="auto" w:fill="auto"/>
      <w:jc w:val="center"/>
      <w:outlineLvl w:val="1"/>
    </w:pPr>
    <w:rPr>
      <w:b/>
      <w:bCs/>
      <w:sz w:val="20"/>
      <w:szCs w:val="20"/>
    </w:rPr>
  </w:style>
  <w:style w:type="paragraph" w:styleId="Titolo3">
    <w:name w:val="heading 3"/>
    <w:basedOn w:val="Normale"/>
    <w:next w:val="Normale"/>
    <w:link w:val="Titolo3Carattere"/>
    <w:uiPriority w:val="99"/>
    <w:qFormat/>
    <w:pPr>
      <w:keepNext/>
      <w:tabs>
        <w:tab w:val="left" w:pos="993"/>
      </w:tabs>
      <w:spacing w:line="480" w:lineRule="auto"/>
      <w:ind w:left="992" w:hanging="992"/>
      <w:jc w:val="center"/>
      <w:outlineLvl w:val="2"/>
    </w:pPr>
    <w:rPr>
      <w:sz w:val="40"/>
      <w:szCs w:val="40"/>
    </w:rPr>
  </w:style>
  <w:style w:type="paragraph" w:styleId="Titolo4">
    <w:name w:val="heading 4"/>
    <w:basedOn w:val="Normale"/>
    <w:next w:val="Normale"/>
    <w:link w:val="Titolo4Carattere"/>
    <w:uiPriority w:val="99"/>
    <w:qFormat/>
    <w:pPr>
      <w:keepNext/>
      <w:jc w:val="center"/>
      <w:outlineLvl w:val="3"/>
    </w:pPr>
    <w:rPr>
      <w:sz w:val="32"/>
      <w:szCs w:val="32"/>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9"/>
    <w:locked/>
    <w:rPr>
      <w:rFonts w:asciiTheme="minorHAnsi" w:eastAsiaTheme="minorEastAsia" w:hAnsiTheme="minorHAnsi" w:cs="Times New Roman"/>
      <w:b/>
      <w:bCs/>
      <w:sz w:val="28"/>
      <w:szCs w:val="28"/>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4"/>
      <w:szCs w:val="24"/>
    </w:rPr>
  </w:style>
  <w:style w:type="character" w:styleId="Numeropagina">
    <w:name w:val="page number"/>
    <w:basedOn w:val="Carpredefinitoparagrafo"/>
    <w:uiPriority w:val="99"/>
    <w:rPr>
      <w:rFonts w:cs="Times New Roman"/>
    </w:rPr>
  </w:style>
  <w:style w:type="paragraph" w:customStyle="1" w:styleId="rtf1Normal">
    <w:name w:val="rtf1 Normal"/>
    <w:uiPriority w:val="99"/>
    <w:pPr>
      <w:widowControl w:val="0"/>
      <w:autoSpaceDE w:val="0"/>
      <w:autoSpaceDN w:val="0"/>
      <w:adjustRightInd w:val="0"/>
      <w:spacing w:after="0" w:line="240" w:lineRule="auto"/>
    </w:pPr>
    <w:rPr>
      <w:rFonts w:ascii="Arial" w:hAnsi="Arial"/>
      <w:sz w:val="24"/>
      <w:szCs w:val="24"/>
    </w:rPr>
  </w:style>
  <w:style w:type="character" w:customStyle="1" w:styleId="rtf1Stiledidefault">
    <w:name w:val="rtf1 Stile di default"/>
    <w:uiPriority w:val="99"/>
  </w:style>
  <w:style w:type="paragraph" w:customStyle="1" w:styleId="rtf1Normal0">
    <w:name w:val="rtf1 [Normal]"/>
    <w:next w:val="rtf1Normal"/>
    <w:uiPriority w:val="99"/>
    <w:pPr>
      <w:widowControl w:val="0"/>
      <w:autoSpaceDE w:val="0"/>
      <w:autoSpaceDN w:val="0"/>
      <w:adjustRightInd w:val="0"/>
      <w:spacing w:after="0" w:line="240" w:lineRule="auto"/>
    </w:pPr>
    <w:rPr>
      <w:rFonts w:ascii="Arial" w:hAnsi="Arial"/>
      <w:sz w:val="24"/>
      <w:szCs w:val="24"/>
    </w:rPr>
  </w:style>
  <w:style w:type="character" w:customStyle="1" w:styleId="rtf1DefaultParagraphFont">
    <w:name w:val="rtf1 Default Paragraph Font"/>
    <w:uiPriority w:val="99"/>
  </w:style>
  <w:style w:type="paragraph" w:customStyle="1" w:styleId="rtf2Normal">
    <w:name w:val="rtf2 Normal"/>
    <w:qFormat/>
    <w:pPr>
      <w:spacing w:after="0" w:line="240" w:lineRule="auto"/>
    </w:pPr>
    <w:rPr>
      <w:sz w:val="24"/>
      <w:szCs w:val="24"/>
    </w:rPr>
  </w:style>
  <w:style w:type="character" w:customStyle="1" w:styleId="rtf2DefaultParagraphFont">
    <w:name w:val="rtf2 Default Paragraph Font"/>
    <w:uiPriority w:val="99"/>
  </w:style>
  <w:style w:type="table" w:customStyle="1" w:styleId="rtf2NormalTable">
    <w:name w:val="rtf2 Normal Table"/>
    <w:uiPriority w:val="99"/>
    <w:semiHidden/>
    <w:unhideWhenUsed/>
    <w:qFormat/>
    <w:tblPr>
      <w:tblInd w:w="0" w:type="dxa"/>
      <w:tblCellMar>
        <w:top w:w="0" w:type="dxa"/>
        <w:left w:w="108" w:type="dxa"/>
        <w:bottom w:w="0" w:type="dxa"/>
        <w:right w:w="108" w:type="dxa"/>
      </w:tblCellMar>
    </w:tblPr>
  </w:style>
  <w:style w:type="paragraph" w:customStyle="1" w:styleId="rtf2header">
    <w:name w:val="rtf2 header"/>
    <w:basedOn w:val="rtf2Normal"/>
    <w:link w:val="rtf2IntestazioneCarattere"/>
    <w:uiPriority w:val="99"/>
    <w:rsid w:val="00521A6F"/>
    <w:pPr>
      <w:widowControl w:val="0"/>
      <w:tabs>
        <w:tab w:val="center" w:pos="4819"/>
        <w:tab w:val="right" w:pos="9638"/>
      </w:tabs>
      <w:overflowPunct w:val="0"/>
      <w:autoSpaceDE w:val="0"/>
      <w:autoSpaceDN w:val="0"/>
      <w:adjustRightInd w:val="0"/>
      <w:textAlignment w:val="baseline"/>
    </w:pPr>
    <w:rPr>
      <w:szCs w:val="20"/>
    </w:rPr>
  </w:style>
  <w:style w:type="character" w:customStyle="1" w:styleId="rtf2IntestazioneCarattere">
    <w:name w:val="rtf2 Intestazione Carattere"/>
    <w:basedOn w:val="rtf2DefaultParagraphFont"/>
    <w:link w:val="rtf2header"/>
    <w:uiPriority w:val="99"/>
    <w:locked/>
    <w:rsid w:val="00521A6F"/>
    <w:rPr>
      <w:rFonts w:cs="Times New Roman"/>
      <w:sz w:val="20"/>
      <w:szCs w:val="20"/>
    </w:rPr>
  </w:style>
  <w:style w:type="paragraph" w:customStyle="1" w:styleId="rtf2footer">
    <w:name w:val="rtf2 footer"/>
    <w:basedOn w:val="rtf2Normal"/>
    <w:link w:val="Pif2e8dipaginaCarattere"/>
    <w:uiPriority w:val="99"/>
    <w:rsid w:val="00521A6F"/>
    <w:pPr>
      <w:tabs>
        <w:tab w:val="center" w:pos="4819"/>
        <w:tab w:val="right" w:pos="9638"/>
      </w:tabs>
      <w:overflowPunct w:val="0"/>
      <w:autoSpaceDE w:val="0"/>
      <w:autoSpaceDN w:val="0"/>
      <w:adjustRightInd w:val="0"/>
      <w:textAlignment w:val="baseline"/>
    </w:pPr>
    <w:rPr>
      <w:szCs w:val="20"/>
    </w:rPr>
  </w:style>
  <w:style w:type="character" w:customStyle="1" w:styleId="Pif2e8dipaginaCarattere">
    <w:name w:val="Piíf2 e8 di pagina Carattere"/>
    <w:basedOn w:val="rtf2DefaultParagraphFont"/>
    <w:link w:val="rtf2footer"/>
    <w:uiPriority w:val="99"/>
    <w:locked/>
    <w:rsid w:val="00521A6F"/>
    <w:rPr>
      <w:rFonts w:cs="Times New Roman"/>
      <w:sz w:val="20"/>
      <w:szCs w:val="20"/>
    </w:rPr>
  </w:style>
  <w:style w:type="character" w:customStyle="1" w:styleId="rtf2pagenumber">
    <w:name w:val="rtf2 page number"/>
    <w:basedOn w:val="rtf2DefaultParagraphFont"/>
    <w:uiPriority w:val="99"/>
    <w:rsid w:val="00521A6F"/>
    <w:rPr>
      <w:rFonts w:cs="Times New Roman"/>
    </w:rPr>
  </w:style>
  <w:style w:type="paragraph" w:customStyle="1" w:styleId="rtf2rtf1Standard">
    <w:name w:val="rtf2 rtf1 Standard"/>
    <w:rsid w:val="00521A6F"/>
    <w:pPr>
      <w:widowControl w:val="0"/>
      <w:suppressAutoHyphens/>
      <w:autoSpaceDN w:val="0"/>
      <w:spacing w:after="0" w:line="240" w:lineRule="auto"/>
      <w:textAlignment w:val="baseline"/>
    </w:pPr>
    <w:rPr>
      <w:rFonts w:eastAsia="SimSun" w:cs="Mangal"/>
      <w:kern w:val="3"/>
      <w:sz w:val="24"/>
      <w:szCs w:val="24"/>
      <w:lang w:eastAsia="zh-CN" w:bidi="hi-IN"/>
    </w:rPr>
  </w:style>
  <w:style w:type="paragraph" w:customStyle="1" w:styleId="rtf2rtf1Corpodeltesto31">
    <w:name w:val="rtf2 rtf1 Corpo del testo 31"/>
    <w:basedOn w:val="rtf2rtf1Standard"/>
    <w:rsid w:val="00521A6F"/>
    <w:pPr>
      <w:spacing w:after="120"/>
    </w:pPr>
    <w:rPr>
      <w:rFonts w:cs="Times New Roman"/>
      <w:sz w:val="16"/>
      <w:szCs w:val="16"/>
    </w:rPr>
  </w:style>
  <w:style w:type="paragraph" w:customStyle="1" w:styleId="rtf2rtf1Rientrocorpodeltesto31">
    <w:name w:val="rtf2 rtf1 Rientro corpo del testo 31"/>
    <w:basedOn w:val="rtf2rtf1Standard"/>
    <w:rsid w:val="00521A6F"/>
    <w:pPr>
      <w:spacing w:after="120"/>
      <w:ind w:left="283"/>
    </w:pPr>
    <w:rPr>
      <w:sz w:val="16"/>
      <w:szCs w:val="16"/>
    </w:rPr>
  </w:style>
  <w:style w:type="numbering" w:customStyle="1" w:styleId="WW8Num3">
    <w:name w:val="WW8Num3"/>
    <w:pPr>
      <w:numPr>
        <w:numId w:val="3"/>
      </w:numPr>
    </w:pPr>
  </w:style>
</w:styles>
</file>

<file path=word/webSettings.xml><?xml version="1.0" encoding="utf-8"?>
<w:webSettings xmlns:r="http://schemas.openxmlformats.org/officeDocument/2006/relationships" xmlns:w="http://schemas.openxmlformats.org/wordprocessingml/2006/main">
  <w:divs>
    <w:div w:id="1515457131">
      <w:marLeft w:val="0"/>
      <w:marRight w:val="0"/>
      <w:marTop w:val="0"/>
      <w:marBottom w:val="0"/>
      <w:divBdr>
        <w:top w:val="none" w:sz="0" w:space="0" w:color="auto"/>
        <w:left w:val="none" w:sz="0" w:space="0" w:color="auto"/>
        <w:bottom w:val="none" w:sz="0" w:space="0" w:color="auto"/>
        <w:right w:val="none" w:sz="0" w:space="0" w:color="auto"/>
      </w:divBdr>
    </w:div>
    <w:div w:id="1515457132">
      <w:marLeft w:val="0"/>
      <w:marRight w:val="0"/>
      <w:marTop w:val="0"/>
      <w:marBottom w:val="0"/>
      <w:divBdr>
        <w:top w:val="none" w:sz="0" w:space="0" w:color="auto"/>
        <w:left w:val="none" w:sz="0" w:space="0" w:color="auto"/>
        <w:bottom w:val="none" w:sz="0" w:space="0" w:color="auto"/>
        <w:right w:val="none" w:sz="0" w:space="0" w:color="auto"/>
      </w:divBdr>
    </w:div>
    <w:div w:id="1515457133">
      <w:marLeft w:val="0"/>
      <w:marRight w:val="0"/>
      <w:marTop w:val="0"/>
      <w:marBottom w:val="0"/>
      <w:divBdr>
        <w:top w:val="none" w:sz="0" w:space="0" w:color="auto"/>
        <w:left w:val="none" w:sz="0" w:space="0" w:color="auto"/>
        <w:bottom w:val="none" w:sz="0" w:space="0" w:color="auto"/>
        <w:right w:val="none" w:sz="0" w:space="0" w:color="auto"/>
      </w:divBdr>
    </w:div>
    <w:div w:id="1515457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2468</Words>
  <Characters>14261</Characters>
  <Application>Microsoft Office Word</Application>
  <DocSecurity>0</DocSecurity>
  <Lines>118</Lines>
  <Paragraphs>33</Paragraphs>
  <ScaleCrop>false</ScaleCrop>
  <Company>Halley Informatica</Company>
  <LinksUpToDate>false</LinksUpToDate>
  <CharactersWithSpaces>16696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Erminio</dc:creator>
  <cp:lastModifiedBy>Bovone Ivana</cp:lastModifiedBy>
  <cp:revision>3</cp:revision>
  <cp:lastPrinted>2016-04-20T06:40:00Z</cp:lastPrinted>
  <dcterms:created xsi:type="dcterms:W3CDTF">2016-04-20T06:34:00Z</dcterms:created>
  <dcterms:modified xsi:type="dcterms:W3CDTF">2016-04-20T06:40:00Z</dcterms:modified>
</cp:coreProperties>
</file>